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贵州师范大学</w:t>
      </w:r>
      <w:r>
        <w:rPr>
          <w:b/>
          <w:sz w:val="32"/>
          <w:szCs w:val="32"/>
        </w:rPr>
        <w:t>硕士研究生入学考试大纲</w:t>
      </w:r>
      <w:r>
        <w:rPr>
          <w:rFonts w:hint="eastAsia"/>
          <w:b/>
          <w:sz w:val="32"/>
          <w:szCs w:val="32"/>
        </w:rPr>
        <w:t>（初试）</w:t>
      </w:r>
    </w:p>
    <w:p>
      <w:pPr>
        <w:pStyle w:val="4"/>
        <w:spacing w:line="360" w:lineRule="auto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（科目：机电技术基础）</w:t>
      </w:r>
    </w:p>
    <w:p>
      <w:pPr>
        <w:rPr>
          <w:rFonts w:hint="eastAsia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一、考查目标</w:t>
      </w:r>
      <w:r>
        <w:rPr>
          <w:rFonts w:hint="eastAsia"/>
          <w:b/>
          <w:sz w:val="24"/>
        </w:rPr>
        <w:tab/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《机电技术基础》是贵州师范大学机械与电气工程学院招收职业技术教育</w:t>
      </w:r>
      <w:r>
        <w:rPr>
          <w:sz w:val="24"/>
        </w:rPr>
        <w:t>硕士研究生</w:t>
      </w:r>
      <w:r>
        <w:rPr>
          <w:rFonts w:hint="eastAsia"/>
          <w:sz w:val="24"/>
        </w:rPr>
        <w:t>的入学考试科目，要求考生掌握机电技术的基本知识、基本理论和方法和基本技能。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该科目试卷分为A、B两个模块，其中，A模块涵盖机械原理、机械设计内容，B模块涵盖电工电子技术的分析设计基础、电气控制技术等内容。A、B两模块各150分，考生可以根据自己的情况，任选一个模块答题。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二、考试形式和试卷结构</w:t>
      </w:r>
    </w:p>
    <w:p>
      <w:pPr>
        <w:pStyle w:val="3"/>
        <w:spacing w:after="0" w:line="360" w:lineRule="auto"/>
        <w:ind w:left="480" w:leftChars="0"/>
        <w:rPr>
          <w:rFonts w:hint="eastAsia"/>
          <w:sz w:val="24"/>
        </w:rPr>
      </w:pPr>
      <w:r>
        <w:rPr>
          <w:rFonts w:hint="eastAsia"/>
          <w:sz w:val="24"/>
        </w:rPr>
        <w:t>（一）试卷满分及考试时间</w:t>
      </w:r>
    </w:p>
    <w:p>
      <w:pPr>
        <w:pStyle w:val="3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本试卷满分为150分（A、B两模块任选一个模块答题），考试时间为180分钟。</w:t>
      </w:r>
    </w:p>
    <w:p>
      <w:pPr>
        <w:pStyle w:val="3"/>
        <w:spacing w:after="0" w:line="360" w:lineRule="auto"/>
        <w:ind w:left="480" w:leftChars="0"/>
        <w:rPr>
          <w:rFonts w:hint="eastAsia"/>
          <w:sz w:val="24"/>
        </w:rPr>
      </w:pPr>
      <w:r>
        <w:rPr>
          <w:rFonts w:hint="eastAsia"/>
          <w:sz w:val="24"/>
        </w:rPr>
        <w:t>（二）答题方式</w:t>
      </w:r>
    </w:p>
    <w:p>
      <w:pPr>
        <w:pStyle w:val="3"/>
        <w:spacing w:after="0"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答题方式为闭卷、笔试。</w:t>
      </w:r>
    </w:p>
    <w:p>
      <w:pPr>
        <w:pStyle w:val="3"/>
        <w:spacing w:after="0" w:line="360" w:lineRule="auto"/>
        <w:ind w:left="480" w:leftChars="0"/>
        <w:rPr>
          <w:rFonts w:hint="eastAsia"/>
          <w:sz w:val="24"/>
        </w:rPr>
      </w:pPr>
      <w:r>
        <w:rPr>
          <w:rFonts w:hint="eastAsia"/>
          <w:sz w:val="24"/>
        </w:rPr>
        <w:t>（三）试卷内容结构</w:t>
      </w:r>
    </w:p>
    <w:p>
      <w:pPr>
        <w:pStyle w:val="3"/>
        <w:spacing w:after="0" w:line="360" w:lineRule="auto"/>
        <w:ind w:left="0" w:leftChars="0" w:firstLine="480" w:firstLineChars="200"/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>选择题、填空题、简答题、计算题、设计题等。</w:t>
      </w:r>
    </w:p>
    <w:p>
      <w:pPr>
        <w:pStyle w:val="3"/>
        <w:spacing w:after="0" w:line="360" w:lineRule="auto"/>
        <w:ind w:left="0" w:leftChars="0"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三、考查内容</w:t>
      </w:r>
    </w:p>
    <w:p>
      <w:pPr>
        <w:pStyle w:val="3"/>
        <w:spacing w:after="0" w:line="360" w:lineRule="auto"/>
        <w:ind w:left="0" w:leftChars="0"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A模块：</w:t>
      </w:r>
    </w:p>
    <w:p>
      <w:pPr>
        <w:pStyle w:val="3"/>
        <w:spacing w:after="0" w:line="360" w:lineRule="auto"/>
        <w:ind w:left="480" w:leftChars="0"/>
        <w:rPr>
          <w:rFonts w:hint="eastAsia"/>
          <w:sz w:val="24"/>
        </w:rPr>
      </w:pPr>
      <w:r>
        <w:rPr>
          <w:rFonts w:hint="eastAsia"/>
          <w:sz w:val="24"/>
        </w:rPr>
        <w:t>（一）机械原理（约30%）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1、机构的结构分析</w:t>
      </w:r>
    </w:p>
    <w:p>
      <w:pPr>
        <w:numPr>
          <w:ilvl w:val="0"/>
          <w:numId w:val="1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机构的组成及机构运动简图；</w:t>
      </w:r>
    </w:p>
    <w:p>
      <w:pPr>
        <w:numPr>
          <w:ilvl w:val="0"/>
          <w:numId w:val="1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机构具有确定运动的条件；</w:t>
      </w:r>
    </w:p>
    <w:p>
      <w:pPr>
        <w:numPr>
          <w:ilvl w:val="0"/>
          <w:numId w:val="1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机构自由度的计算。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2、平面机构的运动分析</w:t>
      </w:r>
    </w:p>
    <w:p>
      <w:pPr>
        <w:numPr>
          <w:ilvl w:val="0"/>
          <w:numId w:val="2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速度瞬心的概念；</w:t>
      </w:r>
    </w:p>
    <w:p>
      <w:pPr>
        <w:numPr>
          <w:ilvl w:val="0"/>
          <w:numId w:val="2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三心定理；</w:t>
      </w:r>
    </w:p>
    <w:p>
      <w:pPr>
        <w:numPr>
          <w:ilvl w:val="0"/>
          <w:numId w:val="2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瞬心的求法 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3、平面连杆机构及其设计</w:t>
      </w:r>
    </w:p>
    <w:p>
      <w:pPr>
        <w:numPr>
          <w:ilvl w:val="0"/>
          <w:numId w:val="3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连杆机构及其传动特点；</w:t>
      </w:r>
    </w:p>
    <w:p>
      <w:pPr>
        <w:numPr>
          <w:ilvl w:val="0"/>
          <w:numId w:val="3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平面四杆机构的类型和应用；</w:t>
      </w:r>
    </w:p>
    <w:p>
      <w:pPr>
        <w:numPr>
          <w:ilvl w:val="0"/>
          <w:numId w:val="3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平面四杆机构的基本知识。主要包括：曲柄存在条件及其应用；极位夹角和急回特性；压力角、传动角和止点位置。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4、齿轮机构及其设计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齿轮机构的应用及分类；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渐开线的基本性质；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渐开线标准齿轮的基本参数和几何尺寸；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渐开线直齿圆柱齿轮的啮合传动，正确啮合条件，连续传动条件，中心距；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渐开线齿轮的切制原理，齿轮的切制方法，根切现象及标准齿轮避免根切的最小齿数；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变位齿轮的应用，可提高齿轮的强度、配凑中心距、可避免根切、改善齿面滑动状况；</w:t>
      </w:r>
    </w:p>
    <w:p>
      <w:pPr>
        <w:numPr>
          <w:ilvl w:val="0"/>
          <w:numId w:val="4"/>
        </w:numPr>
        <w:spacing w:line="360" w:lineRule="auto"/>
        <w:ind w:left="0" w:firstLine="566" w:firstLineChars="236"/>
        <w:rPr>
          <w:rFonts w:hint="eastAsia"/>
          <w:sz w:val="24"/>
        </w:rPr>
      </w:pPr>
      <w:r>
        <w:rPr>
          <w:rFonts w:hint="eastAsia"/>
          <w:sz w:val="24"/>
        </w:rPr>
        <w:t>斜齿圆柱齿轮传动相关理论，基本参数与主要几何尺寸，正确啮合条件，螺旋角</w:t>
      </w:r>
      <w:r>
        <w:rPr>
          <w:rFonts w:hint="eastAsia" w:ascii="宋体" w:hAnsi="宋体"/>
          <w:sz w:val="24"/>
        </w:rPr>
        <w:t>β</w:t>
      </w:r>
      <w:r>
        <w:rPr>
          <w:rFonts w:hint="eastAsia"/>
          <w:sz w:val="24"/>
        </w:rPr>
        <w:t>的取值范围，当量齿数。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5、轮系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轮系的分类；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定轴轮系传动比的计算；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周转轮系传动比的计算。</w:t>
      </w:r>
    </w:p>
    <w:p>
      <w:pPr>
        <w:pStyle w:val="3"/>
        <w:spacing w:after="0" w:line="360" w:lineRule="auto"/>
        <w:ind w:leftChars="0"/>
        <w:rPr>
          <w:rFonts w:hint="eastAsia"/>
          <w:sz w:val="24"/>
        </w:rPr>
      </w:pPr>
      <w:r>
        <w:rPr>
          <w:rFonts w:hint="eastAsia"/>
          <w:sz w:val="24"/>
        </w:rPr>
        <w:t>（二）机械设计（约70%）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1、机械设计总论</w:t>
      </w:r>
    </w:p>
    <w:p>
      <w:pPr>
        <w:numPr>
          <w:ilvl w:val="0"/>
          <w:numId w:val="6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机械零件的主要失效形式和计算准则；</w:t>
      </w:r>
    </w:p>
    <w:p>
      <w:pPr>
        <w:numPr>
          <w:ilvl w:val="0"/>
          <w:numId w:val="6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应力的分类及表示稳定循环变应力的参数；</w:t>
      </w:r>
    </w:p>
    <w:p>
      <w:pPr>
        <w:numPr>
          <w:ilvl w:val="0"/>
          <w:numId w:val="6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材料的简化极限应力图的绘制及应用；</w:t>
      </w:r>
    </w:p>
    <w:p>
      <w:pPr>
        <w:numPr>
          <w:ilvl w:val="0"/>
          <w:numId w:val="6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影响零件疲劳强度的主要因素。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2、螺纹联接</w:t>
      </w:r>
    </w:p>
    <w:p>
      <w:pPr>
        <w:numPr>
          <w:ilvl w:val="0"/>
          <w:numId w:val="7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螺纹的类型及其应用，按牙型不同分类；</w:t>
      </w:r>
    </w:p>
    <w:p>
      <w:pPr>
        <w:numPr>
          <w:ilvl w:val="0"/>
          <w:numId w:val="7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螺纹联接的类型及应用场合；</w:t>
      </w:r>
    </w:p>
    <w:p>
      <w:pPr>
        <w:numPr>
          <w:ilvl w:val="0"/>
          <w:numId w:val="7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螺纹联接的预紧目的；</w:t>
      </w:r>
    </w:p>
    <w:p>
      <w:pPr>
        <w:numPr>
          <w:ilvl w:val="0"/>
          <w:numId w:val="7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螺纹联接的防松实质和防松方法（按放松原理不同分类）；</w:t>
      </w:r>
    </w:p>
    <w:p>
      <w:pPr>
        <w:numPr>
          <w:ilvl w:val="0"/>
          <w:numId w:val="7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螺栓联接的受力分析及强度计算，只受预紧力作用的紧螺栓联接。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3、键联接</w:t>
      </w:r>
    </w:p>
    <w:p>
      <w:pPr>
        <w:numPr>
          <w:ilvl w:val="0"/>
          <w:numId w:val="8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平键联接的工作原理和工作面；</w:t>
      </w:r>
    </w:p>
    <w:p>
      <w:pPr>
        <w:numPr>
          <w:ilvl w:val="0"/>
          <w:numId w:val="8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键的选择，键的截面尺寸（b×h）按轴的直径来选择，键的长度根据轮毂的长度来选择；</w:t>
      </w:r>
    </w:p>
    <w:p>
      <w:pPr>
        <w:numPr>
          <w:ilvl w:val="0"/>
          <w:numId w:val="8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平键联接的主要失效形式。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4、带传动</w:t>
      </w:r>
    </w:p>
    <w:p>
      <w:pPr>
        <w:numPr>
          <w:ilvl w:val="0"/>
          <w:numId w:val="9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摩擦带传动的工作原理和特点；</w:t>
      </w:r>
    </w:p>
    <w:p>
      <w:pPr>
        <w:numPr>
          <w:ilvl w:val="0"/>
          <w:numId w:val="9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带传动工作情况分析，影响带传动承载能力的因数，弹性滑动和打滑，带传动工作时所受的应力和最大应力发生位置；</w:t>
      </w:r>
    </w:p>
    <w:p>
      <w:pPr>
        <w:numPr>
          <w:ilvl w:val="0"/>
          <w:numId w:val="9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带传动的失效形式及设计准则；</w:t>
      </w:r>
    </w:p>
    <w:p>
      <w:pPr>
        <w:numPr>
          <w:ilvl w:val="0"/>
          <w:numId w:val="9"/>
        </w:numPr>
        <w:spacing w:line="360" w:lineRule="auto"/>
        <w:ind w:left="0" w:firstLine="567"/>
        <w:rPr>
          <w:sz w:val="24"/>
        </w:rPr>
      </w:pPr>
      <w:r>
        <w:rPr>
          <w:sz w:val="24"/>
        </w:rPr>
        <w:t>V带传动的设计计算</w:t>
      </w:r>
      <w:r>
        <w:rPr>
          <w:rFonts w:hint="eastAsia"/>
          <w:sz w:val="24"/>
        </w:rPr>
        <w:t>：</w:t>
      </w:r>
      <w:r>
        <w:rPr>
          <w:sz w:val="24"/>
        </w:rPr>
        <w:t>V带型号的选择依据</w:t>
      </w:r>
      <w:r>
        <w:rPr>
          <w:rFonts w:hint="eastAsia"/>
          <w:sz w:val="24"/>
        </w:rPr>
        <w:t>，</w:t>
      </w:r>
      <w:r>
        <w:rPr>
          <w:sz w:val="24"/>
        </w:rPr>
        <w:t>带速v的一般取值范围</w:t>
      </w:r>
      <w:r>
        <w:rPr>
          <w:rFonts w:hint="eastAsia"/>
          <w:sz w:val="24"/>
        </w:rPr>
        <w:t>，</w:t>
      </w:r>
      <w:r>
        <w:rPr>
          <w:sz w:val="24"/>
        </w:rPr>
        <w:t>小带轮包角α</w:t>
      </w:r>
      <w:r>
        <w:rPr>
          <w:sz w:val="24"/>
          <w:vertAlign w:val="subscript"/>
        </w:rPr>
        <w:t>1</w:t>
      </w:r>
      <w:r>
        <w:rPr>
          <w:sz w:val="24"/>
        </w:rPr>
        <w:t>的取值要求（α</w:t>
      </w:r>
      <w:r>
        <w:rPr>
          <w:rFonts w:hint="eastAsia"/>
          <w:sz w:val="24"/>
          <w:vertAlign w:val="subscript"/>
        </w:rPr>
        <w:t>1</w:t>
      </w:r>
      <w:r>
        <w:rPr>
          <w:sz w:val="24"/>
        </w:rPr>
        <w:t>≥120°）</w:t>
      </w:r>
      <w:r>
        <w:rPr>
          <w:rFonts w:hint="eastAsia"/>
          <w:sz w:val="24"/>
        </w:rPr>
        <w:t>；</w:t>
      </w:r>
    </w:p>
    <w:p>
      <w:pPr>
        <w:numPr>
          <w:ilvl w:val="0"/>
          <w:numId w:val="9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带传动的常用张紧装置及张紧轮的布置。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5、链传动</w:t>
      </w:r>
    </w:p>
    <w:p>
      <w:pPr>
        <w:numPr>
          <w:ilvl w:val="0"/>
          <w:numId w:val="10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链传动的特点及应用；</w:t>
      </w:r>
    </w:p>
    <w:p>
      <w:pPr>
        <w:numPr>
          <w:ilvl w:val="0"/>
          <w:numId w:val="10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链传动的运动特性：多边形效应及其与链节距、链轮齿数的关系；</w:t>
      </w:r>
    </w:p>
    <w:p>
      <w:pPr>
        <w:numPr>
          <w:ilvl w:val="0"/>
          <w:numId w:val="10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链传动主要参数的选择。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6、齿轮传动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齿轮传动的特点及应用；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齿轮传动的失效形式及计算准则；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齿轮的常用材料：对齿轮材料性能的基本要求（齿面要硬，齿芯要韧）；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齿轮传动的计算载荷：载荷系数K的组成部分及各系数的含义；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标准直齿圆柱齿轮的受力分析和强度计算：接触疲劳强度计算和弯曲疲劳强度计算（强度计算公式不用记，会应用）；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斜齿圆柱齿轮的受力分析和强度计算：掌握受力分析，绘制受力图；</w:t>
      </w:r>
    </w:p>
    <w:p>
      <w:pPr>
        <w:numPr>
          <w:ilvl w:val="0"/>
          <w:numId w:val="11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齿轮传动的设计参数选择：齿数和模数的选择 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7、蜗杆传动</w:t>
      </w:r>
    </w:p>
    <w:p>
      <w:pPr>
        <w:numPr>
          <w:ilvl w:val="0"/>
          <w:numId w:val="12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蜗杆传动的类型和特点；</w:t>
      </w:r>
    </w:p>
    <w:p>
      <w:pPr>
        <w:numPr>
          <w:ilvl w:val="0"/>
          <w:numId w:val="12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普通圆柱蜗杆传动的主要参数及几何尺寸计算；</w:t>
      </w:r>
    </w:p>
    <w:p>
      <w:pPr>
        <w:numPr>
          <w:ilvl w:val="0"/>
          <w:numId w:val="12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蜗杆传动的受力分析：绘制受力图；</w:t>
      </w:r>
    </w:p>
    <w:p>
      <w:pPr>
        <w:numPr>
          <w:ilvl w:val="0"/>
          <w:numId w:val="12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蜗杆传动的效率：提高效率的方法；</w:t>
      </w:r>
    </w:p>
    <w:p>
      <w:pPr>
        <w:numPr>
          <w:ilvl w:val="0"/>
          <w:numId w:val="12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蜗杆和蜗轮的常用材料。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8、轴</w:t>
      </w:r>
    </w:p>
    <w:p>
      <w:pPr>
        <w:numPr>
          <w:ilvl w:val="0"/>
          <w:numId w:val="13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轴的分类及常用材料；</w:t>
      </w:r>
    </w:p>
    <w:p>
      <w:pPr>
        <w:numPr>
          <w:ilvl w:val="0"/>
          <w:numId w:val="13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轴的结构设计：轴的结构应满足的主要要求，结构设计应考虑的问题，结构改错。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9、滚动轴承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滚动轴承的类型、结构和代号；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滚动轴承类型的选择：选择轴承应考虑的主要因素；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滚动轴承的尺寸选择计算；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滚动轴承的主要失效形式；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滚动轴承的寿命计算：滚动轴承的寿命、基本额定寿命、基本额定动载荷和当量动载荷的概念；深沟球轴承、角接触球轴承和圆锥滚子轴承的当量动载荷的计算；</w:t>
      </w:r>
    </w:p>
    <w:p>
      <w:pPr>
        <w:numPr>
          <w:ilvl w:val="0"/>
          <w:numId w:val="14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滚动轴承装置的组合设计：滚动轴承的3中基本支承结构形式及其应用场合。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10、滑动轴承</w:t>
      </w:r>
    </w:p>
    <w:p>
      <w:pPr>
        <w:numPr>
          <w:ilvl w:val="0"/>
          <w:numId w:val="15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轴瓦的主要失效形式和轴瓦材料应具备的性能；</w:t>
      </w:r>
    </w:p>
    <w:p>
      <w:pPr>
        <w:numPr>
          <w:ilvl w:val="0"/>
          <w:numId w:val="15"/>
        </w:numPr>
        <w:spacing w:line="360" w:lineRule="auto"/>
        <w:ind w:left="0" w:firstLine="567"/>
        <w:rPr>
          <w:rFonts w:hint="eastAsia"/>
          <w:sz w:val="24"/>
        </w:rPr>
      </w:pPr>
      <w:r>
        <w:rPr>
          <w:rFonts w:hint="eastAsia"/>
          <w:sz w:val="24"/>
        </w:rPr>
        <w:t>何为润滑油的粘度、油性以及粘温特性和粘压特性。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参考书目：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1、《机械设计》参考教材：龙振宇主编，机械设计，机械工业出版社.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2、《机械原理》参考教材：申永胜主编，机械原理教程，清华大学出版社.</w:t>
      </w:r>
    </w:p>
    <w:p>
      <w:pPr>
        <w:pStyle w:val="3"/>
        <w:spacing w:after="0" w:line="360" w:lineRule="auto"/>
        <w:ind w:left="0" w:leftChars="0"/>
        <w:rPr>
          <w:rFonts w:hint="eastAsia"/>
          <w:b/>
          <w:sz w:val="24"/>
        </w:rPr>
      </w:pPr>
    </w:p>
    <w:p>
      <w:pPr>
        <w:pStyle w:val="3"/>
        <w:spacing w:after="0" w:line="360" w:lineRule="auto"/>
        <w:ind w:left="0" w:leftChars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B模块：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（一）电工</w:t>
      </w:r>
      <w:r>
        <w:rPr>
          <w:sz w:val="24"/>
        </w:rPr>
        <w:t>技术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第一章</w:t>
      </w:r>
      <w:r>
        <w:rPr>
          <w:rFonts w:hint="eastAsia"/>
          <w:sz w:val="24"/>
        </w:rPr>
        <w:t xml:space="preserve"> 电路基本</w:t>
      </w:r>
      <w:r>
        <w:rPr>
          <w:sz w:val="24"/>
        </w:rPr>
        <w:t>工作原理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1、</w:t>
      </w:r>
      <w:r>
        <w:rPr>
          <w:rFonts w:hint="eastAsia"/>
          <w:sz w:val="24"/>
        </w:rPr>
        <w:t>电路的基本物理量－电流、电压和电动势的定义及其方向</w:t>
      </w:r>
      <w:r>
        <w:rPr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2、</w:t>
      </w:r>
      <w:r>
        <w:rPr>
          <w:rFonts w:hint="eastAsia"/>
          <w:sz w:val="24"/>
        </w:rPr>
        <w:t>电路中电位和电功率的计算；额定值的概念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第二章</w:t>
      </w:r>
      <w:r>
        <w:rPr>
          <w:rFonts w:hint="eastAsia"/>
          <w:sz w:val="24"/>
        </w:rPr>
        <w:t xml:space="preserve"> 电路分析基础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1、</w:t>
      </w:r>
      <w:r>
        <w:rPr>
          <w:rFonts w:hint="eastAsia"/>
          <w:sz w:val="24"/>
        </w:rPr>
        <w:t>欧姆定律和基尔霍夫定律（KCL、KVL）</w:t>
      </w:r>
      <w:r>
        <w:rPr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2、</w:t>
      </w:r>
      <w:r>
        <w:rPr>
          <w:rFonts w:hint="eastAsia"/>
          <w:sz w:val="24"/>
        </w:rPr>
        <w:t>电压源与电流源及其等效变换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3、节点电压法、叠加原理和戴维南定理。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第三章 </w:t>
      </w:r>
      <w:r>
        <w:rPr>
          <w:rFonts w:hint="eastAsia"/>
          <w:sz w:val="24"/>
        </w:rPr>
        <w:t>交流电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1、</w:t>
      </w:r>
      <w:r>
        <w:rPr>
          <w:rFonts w:hint="eastAsia"/>
          <w:sz w:val="24"/>
        </w:rPr>
        <w:t>正弦量的三要素（频率、周期、角频率；最大值、有效值；相位、初相位）；同频正弦量间的相位关系。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2、</w:t>
      </w:r>
      <w:r>
        <w:rPr>
          <w:rFonts w:hint="eastAsia"/>
          <w:sz w:val="24"/>
        </w:rPr>
        <w:t>正弦量的相量表示法；正弦量的瞬时值三角函数式、波形图、相量图间的相互转换。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3、</w:t>
      </w:r>
      <w:r>
        <w:rPr>
          <w:rFonts w:hint="eastAsia"/>
          <w:sz w:val="24"/>
        </w:rPr>
        <w:t>三相电势的产生与三相电源的连接；三相负载的Y连接和△连接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4、</w:t>
      </w:r>
      <w:r>
        <w:rPr>
          <w:rFonts w:hint="eastAsia"/>
          <w:sz w:val="24"/>
        </w:rPr>
        <w:t>三相电路的稳态计算；瞬时功率、平均功率、无功功率和视在功率</w:t>
      </w:r>
      <w:r>
        <w:rPr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、安全用电。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第四章</w:t>
      </w:r>
      <w:r>
        <w:rPr>
          <w:rFonts w:hint="eastAsia"/>
          <w:sz w:val="24"/>
        </w:rPr>
        <w:t xml:space="preserve"> 变压器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1、磁场的基本物理量：磁路及其基本定律。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2、变压器的工作原理，变压器的额定值、损耗与效率。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color w:val="000000"/>
          <w:kern w:val="0"/>
          <w:sz w:val="24"/>
        </w:rPr>
        <w:t>（二）</w:t>
      </w:r>
      <w:r>
        <w:rPr>
          <w:rFonts w:hint="eastAsia"/>
          <w:sz w:val="24"/>
        </w:rPr>
        <w:t>电子</w:t>
      </w:r>
      <w:r>
        <w:rPr>
          <w:sz w:val="24"/>
        </w:rPr>
        <w:t>技术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一</w:t>
      </w:r>
      <w:r>
        <w:rPr>
          <w:sz w:val="24"/>
        </w:rPr>
        <w:t>章</w:t>
      </w:r>
      <w:r>
        <w:rPr>
          <w:rFonts w:hint="eastAsia"/>
          <w:sz w:val="24"/>
        </w:rPr>
        <w:t xml:space="preserve"> 半导体基础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1、半导体的基础知识；PN结的形成及其特性；半导体二极管的结构、伏安特性、主要参数及主要应用。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2、特殊二极管；整流电路。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3、晶体三极管的结构、输入、输出特性；基本放大电路分析。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 xml:space="preserve">、场效应管、晶闸管的结构、特性。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二</w:t>
      </w:r>
      <w:r>
        <w:rPr>
          <w:sz w:val="24"/>
        </w:rPr>
        <w:t>章</w:t>
      </w:r>
      <w:r>
        <w:rPr>
          <w:rFonts w:hint="eastAsia"/>
          <w:sz w:val="24"/>
        </w:rPr>
        <w:t xml:space="preserve"> 集成运算放大电路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1、集成运放的基本知识；理想运算放大器的两个重要结论。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2、集成运放中的反馈。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3、集成运算放大器的线性应用电路。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第</w:t>
      </w:r>
      <w:r>
        <w:rPr>
          <w:rFonts w:hint="eastAsia"/>
          <w:sz w:val="24"/>
        </w:rPr>
        <w:t>三</w:t>
      </w:r>
      <w:r>
        <w:rPr>
          <w:sz w:val="24"/>
        </w:rPr>
        <w:t>章</w:t>
      </w:r>
      <w:r>
        <w:rPr>
          <w:rFonts w:hint="eastAsia"/>
          <w:sz w:val="24"/>
        </w:rPr>
        <w:t xml:space="preserve"> 数字电路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1、基本门电路（与门、或门和非门），常用门电路；逻辑代数及其化简。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2、组合逻辑电路的分析和设计；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3、时序逻辑电路的分析和设计；触发器、计数器、寄存器、555定时器的功能和应用。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（三）控制技术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第一章 电气控制技术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考核知识点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1、常用低压电器的结构、原理和功能。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2、三相异步电动机直接起动控制、正反转控制；行程控制，时间控制，顺序控制电路；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3、电气控制电路原理图的绘制与阅读。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参考书目：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1、电工技术与电子技术基础（第三版），符磊/王久华，清华大学出版社，2011</w:t>
      </w:r>
      <w:r>
        <w:rPr>
          <w:sz w:val="24"/>
        </w:rPr>
        <w:t>.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2、电工学上（电工技术）、电工学下（电子技术）（第七版），秦曾煌，高等教育出版社，2017</w:t>
      </w:r>
      <w:r>
        <w:rPr>
          <w:sz w:val="24"/>
        </w:rPr>
        <w:t>.</w:t>
      </w:r>
    </w:p>
    <w:p>
      <w:pPr>
        <w:spacing w:line="360" w:lineRule="auto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4BC"/>
    <w:multiLevelType w:val="multilevel"/>
    <w:tmpl w:val="09B924BC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B53506"/>
    <w:multiLevelType w:val="multilevel"/>
    <w:tmpl w:val="13B53506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7B7D8D"/>
    <w:multiLevelType w:val="multilevel"/>
    <w:tmpl w:val="357B7D8D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E1D3059"/>
    <w:multiLevelType w:val="multilevel"/>
    <w:tmpl w:val="3E1D3059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3E279DA"/>
    <w:multiLevelType w:val="multilevel"/>
    <w:tmpl w:val="43E279DA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5EC2E43"/>
    <w:multiLevelType w:val="multilevel"/>
    <w:tmpl w:val="45EC2E4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B9E33F5"/>
    <w:multiLevelType w:val="multilevel"/>
    <w:tmpl w:val="4B9E33F5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CE61C4E"/>
    <w:multiLevelType w:val="multilevel"/>
    <w:tmpl w:val="5CE61C4E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D567265"/>
    <w:multiLevelType w:val="multilevel"/>
    <w:tmpl w:val="5D567265"/>
    <w:lvl w:ilvl="0" w:tentative="0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D5A166F"/>
    <w:multiLevelType w:val="multilevel"/>
    <w:tmpl w:val="5D5A166F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E040DDA"/>
    <w:multiLevelType w:val="multilevel"/>
    <w:tmpl w:val="5E040DDA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46123B3"/>
    <w:multiLevelType w:val="multilevel"/>
    <w:tmpl w:val="646123B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98A1ABC"/>
    <w:multiLevelType w:val="multilevel"/>
    <w:tmpl w:val="698A1ABC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FBD6B41"/>
    <w:multiLevelType w:val="multilevel"/>
    <w:tmpl w:val="6FBD6B4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7FF53568"/>
    <w:multiLevelType w:val="multilevel"/>
    <w:tmpl w:val="7FF53568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13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34"/>
    <w:rsid w:val="00002676"/>
    <w:rsid w:val="00012250"/>
    <w:rsid w:val="000173AF"/>
    <w:rsid w:val="0002747D"/>
    <w:rsid w:val="00052A8E"/>
    <w:rsid w:val="000623D5"/>
    <w:rsid w:val="000672D4"/>
    <w:rsid w:val="000A4B59"/>
    <w:rsid w:val="000B4760"/>
    <w:rsid w:val="00154021"/>
    <w:rsid w:val="00192967"/>
    <w:rsid w:val="001A34CA"/>
    <w:rsid w:val="00203DB2"/>
    <w:rsid w:val="0020476D"/>
    <w:rsid w:val="0022379C"/>
    <w:rsid w:val="00227461"/>
    <w:rsid w:val="002667E4"/>
    <w:rsid w:val="002C0F98"/>
    <w:rsid w:val="00325BC7"/>
    <w:rsid w:val="0033302C"/>
    <w:rsid w:val="0033651C"/>
    <w:rsid w:val="00364EB2"/>
    <w:rsid w:val="00371FF0"/>
    <w:rsid w:val="003737CB"/>
    <w:rsid w:val="003F5D7E"/>
    <w:rsid w:val="003F612E"/>
    <w:rsid w:val="00407B4E"/>
    <w:rsid w:val="00420D3F"/>
    <w:rsid w:val="00421811"/>
    <w:rsid w:val="004538BF"/>
    <w:rsid w:val="00461572"/>
    <w:rsid w:val="00464C90"/>
    <w:rsid w:val="004A3416"/>
    <w:rsid w:val="004B1D39"/>
    <w:rsid w:val="00521841"/>
    <w:rsid w:val="00553F1D"/>
    <w:rsid w:val="005B49FE"/>
    <w:rsid w:val="005C2BA1"/>
    <w:rsid w:val="005D213D"/>
    <w:rsid w:val="006A5A22"/>
    <w:rsid w:val="006D740F"/>
    <w:rsid w:val="006E6188"/>
    <w:rsid w:val="007032E0"/>
    <w:rsid w:val="007409F9"/>
    <w:rsid w:val="00746E4F"/>
    <w:rsid w:val="00754233"/>
    <w:rsid w:val="0078656E"/>
    <w:rsid w:val="00792134"/>
    <w:rsid w:val="007A01C8"/>
    <w:rsid w:val="007A52E1"/>
    <w:rsid w:val="007A7D21"/>
    <w:rsid w:val="007D6CFA"/>
    <w:rsid w:val="00847F6D"/>
    <w:rsid w:val="008773D8"/>
    <w:rsid w:val="00901DDF"/>
    <w:rsid w:val="00922737"/>
    <w:rsid w:val="00930E61"/>
    <w:rsid w:val="009D238C"/>
    <w:rsid w:val="00A31F3E"/>
    <w:rsid w:val="00A55D90"/>
    <w:rsid w:val="00A72F7C"/>
    <w:rsid w:val="00A77789"/>
    <w:rsid w:val="00AA0714"/>
    <w:rsid w:val="00AA169C"/>
    <w:rsid w:val="00AE04D0"/>
    <w:rsid w:val="00B64B38"/>
    <w:rsid w:val="00BB3492"/>
    <w:rsid w:val="00BB3670"/>
    <w:rsid w:val="00BD1E24"/>
    <w:rsid w:val="00BD3237"/>
    <w:rsid w:val="00BE0349"/>
    <w:rsid w:val="00C0423C"/>
    <w:rsid w:val="00C35B4E"/>
    <w:rsid w:val="00C639D2"/>
    <w:rsid w:val="00C77A6F"/>
    <w:rsid w:val="00C97BF5"/>
    <w:rsid w:val="00CB439C"/>
    <w:rsid w:val="00CD52F8"/>
    <w:rsid w:val="00CE0633"/>
    <w:rsid w:val="00D05A50"/>
    <w:rsid w:val="00D118D4"/>
    <w:rsid w:val="00D40A5C"/>
    <w:rsid w:val="00D41EA4"/>
    <w:rsid w:val="00D47868"/>
    <w:rsid w:val="00D67322"/>
    <w:rsid w:val="00D877C6"/>
    <w:rsid w:val="00DE6C64"/>
    <w:rsid w:val="00E14240"/>
    <w:rsid w:val="00E26D3F"/>
    <w:rsid w:val="00E33CDB"/>
    <w:rsid w:val="00E54B25"/>
    <w:rsid w:val="00E962B1"/>
    <w:rsid w:val="00EE4DFE"/>
    <w:rsid w:val="00F4332C"/>
    <w:rsid w:val="00F873FD"/>
    <w:rsid w:val="00FC15EA"/>
    <w:rsid w:val="00FC50C0"/>
    <w:rsid w:val="00FE362F"/>
    <w:rsid w:val="051B0611"/>
    <w:rsid w:val="3E960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Plain Text"/>
    <w:basedOn w:val="1"/>
    <w:link w:val="15"/>
    <w:uiPriority w:val="0"/>
    <w:rPr>
      <w:rFonts w:ascii="宋体" w:hAnsi="Courier New"/>
      <w:szCs w:val="20"/>
    </w:rPr>
  </w:style>
  <w:style w:type="paragraph" w:styleId="5">
    <w:name w:val="Body Text Indent 2"/>
    <w:basedOn w:val="1"/>
    <w:uiPriority w:val="0"/>
    <w:pPr>
      <w:ind w:firstLine="420" w:firstLineChars="175"/>
    </w:pPr>
    <w:rPr>
      <w:rFonts w:ascii="宋体"/>
      <w:snapToGrid w:val="0"/>
      <w:kern w:val="24"/>
      <w:sz w:val="24"/>
      <w:szCs w:val="28"/>
    </w:rPr>
  </w:style>
  <w:style w:type="paragraph" w:styleId="6">
    <w:name w:val="Balloon Text"/>
    <w:basedOn w:val="1"/>
    <w:link w:val="17"/>
    <w:uiPriority w:val="0"/>
    <w:rPr>
      <w:sz w:val="18"/>
      <w:szCs w:val="18"/>
    </w:rPr>
  </w:style>
  <w:style w:type="paragraph" w:styleId="7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12">
    <w:name w:val="Hyperlink"/>
    <w:uiPriority w:val="0"/>
    <w:rPr>
      <w:color w:val="0563C1"/>
      <w:u w:val="single"/>
    </w:rPr>
  </w:style>
  <w:style w:type="character" w:customStyle="1" w:styleId="13">
    <w:name w:val="页眉 Char"/>
    <w:link w:val="8"/>
    <w:uiPriority w:val="0"/>
    <w:rPr>
      <w:kern w:val="2"/>
      <w:sz w:val="18"/>
      <w:szCs w:val="18"/>
    </w:rPr>
  </w:style>
  <w:style w:type="character" w:customStyle="1" w:styleId="14">
    <w:name w:val="页脚 Char"/>
    <w:link w:val="7"/>
    <w:uiPriority w:val="0"/>
    <w:rPr>
      <w:kern w:val="2"/>
      <w:sz w:val="18"/>
      <w:szCs w:val="18"/>
    </w:rPr>
  </w:style>
  <w:style w:type="character" w:customStyle="1" w:styleId="15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16">
    <w:name w:val="标题 1 字符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批注框文本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 Name</Company>
  <Pages>6</Pages>
  <Words>425</Words>
  <Characters>2428</Characters>
  <Lines>20</Lines>
  <Paragraphs>5</Paragraphs>
  <TotalTime>0</TotalTime>
  <ScaleCrop>false</ScaleCrop>
  <LinksUpToDate>false</LinksUpToDate>
  <CharactersWithSpaces>2848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2019-09-14T01:39:00Z</dcterms:created>
  <dc:creator>island</dc:creator>
  <cp:lastModifiedBy>Administrator</cp:lastModifiedBy>
  <dcterms:modified xsi:type="dcterms:W3CDTF">2021-10-09T06:25:07Z</dcterms:modified>
  <dc:title>2010年硕士研究生入学考试大纲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