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b/>
          <w:sz w:val="44"/>
          <w:szCs w:val="44"/>
        </w:rPr>
      </w:pPr>
      <w:bookmarkStart w:id="0" w:name="_GoBack"/>
      <w:bookmarkEnd w:id="0"/>
    </w:p>
    <w:p>
      <w:pPr>
        <w:snapToGrid w:val="0"/>
        <w:jc w:val="center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20</w:t>
      </w:r>
      <w:r>
        <w:rPr>
          <w:rFonts w:eastAsia="仿宋_GB2312"/>
          <w:b/>
          <w:sz w:val="44"/>
          <w:szCs w:val="44"/>
        </w:rPr>
        <w:t>22</w:t>
      </w:r>
      <w:r>
        <w:rPr>
          <w:rFonts w:hint="eastAsia" w:eastAsia="仿宋_GB2312"/>
          <w:b/>
          <w:sz w:val="44"/>
          <w:szCs w:val="44"/>
        </w:rPr>
        <w:t>年专业学位研究生入学统一考试</w:t>
      </w:r>
    </w:p>
    <w:p>
      <w:pPr>
        <w:snapToGrid w:val="0"/>
        <w:jc w:val="center"/>
        <w:rPr>
          <w:rFonts w:hint="eastAsia"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《金融学综合》考试科目命题大纲</w:t>
      </w:r>
    </w:p>
    <w:p>
      <w:pPr>
        <w:snapToGrid w:val="0"/>
        <w:rPr>
          <w:rFonts w:eastAsia="仿宋_GB2312"/>
          <w:b/>
          <w:sz w:val="44"/>
          <w:szCs w:val="44"/>
        </w:rPr>
      </w:pP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一、考试性质</w:t>
      </w:r>
    </w:p>
    <w:p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》是</w:t>
      </w:r>
      <w:r>
        <w:rPr>
          <w:rFonts w:hint="eastAsia" w:ascii="宋体" w:hAnsi="宋体"/>
          <w:szCs w:val="21"/>
        </w:rPr>
        <w:t>20</w:t>
      </w: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年金融</w:t>
      </w:r>
      <w:r>
        <w:rPr>
          <w:rFonts w:ascii="宋体" w:hAnsi="宋体"/>
          <w:szCs w:val="21"/>
        </w:rPr>
        <w:t>硕士（M</w:t>
      </w:r>
      <w:r>
        <w:rPr>
          <w:rFonts w:hint="eastAsia" w:ascii="宋体" w:hAnsi="宋体"/>
          <w:szCs w:val="21"/>
        </w:rPr>
        <w:t>F</w:t>
      </w:r>
      <w:r>
        <w:rPr>
          <w:rFonts w:ascii="宋体" w:hAnsi="宋体"/>
          <w:szCs w:val="21"/>
        </w:rPr>
        <w:t>）专业学位研究生入学</w:t>
      </w:r>
      <w:r>
        <w:rPr>
          <w:rFonts w:hint="eastAsia" w:ascii="宋体" w:hAnsi="宋体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》考试</w:t>
      </w:r>
      <w:r>
        <w:rPr>
          <w:rFonts w:hint="eastAsia" w:ascii="宋体" w:hAnsi="宋体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二、考试要求</w:t>
      </w:r>
    </w:p>
    <w:p>
      <w:pPr>
        <w:snapToGrid w:val="0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于与货币金融学和公司金融相关</w:t>
      </w:r>
      <w:r>
        <w:rPr>
          <w:rFonts w:ascii="宋体" w:hAnsi="宋体"/>
          <w:szCs w:val="21"/>
        </w:rPr>
        <w:t>的基本概念、基础</w:t>
      </w:r>
      <w:r>
        <w:rPr>
          <w:rFonts w:hint="eastAsia" w:ascii="宋体" w:hAnsi="宋体"/>
          <w:szCs w:val="21"/>
        </w:rPr>
        <w:t>理论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掌握和运用能力</w:t>
      </w:r>
      <w:r>
        <w:rPr>
          <w:rFonts w:ascii="宋体" w:hAnsi="宋体"/>
          <w:szCs w:val="21"/>
        </w:rPr>
        <w:t>。</w:t>
      </w:r>
    </w:p>
    <w:p>
      <w:pPr>
        <w:snapToGrid w:val="0"/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三、考试内容</w:t>
      </w:r>
    </w:p>
    <w:p>
      <w:pPr>
        <w:snapToGrid w:val="0"/>
        <w:ind w:firstLine="120" w:firstLineChars="50"/>
        <w:rPr>
          <w:rFonts w:hint="eastAsia" w:eastAsia="仿宋_GB2312"/>
          <w:b/>
          <w:sz w:val="24"/>
        </w:rPr>
      </w:pPr>
    </w:p>
    <w:p>
      <w:pPr>
        <w:snapToGrid w:val="0"/>
        <w:jc w:val="center"/>
        <w:rPr>
          <w:rFonts w:hint="eastAsia" w:eastAsia="仿宋_GB2312"/>
          <w:b/>
          <w:sz w:val="28"/>
        </w:rPr>
      </w:pPr>
      <w:r>
        <w:rPr>
          <w:rFonts w:hint="eastAsia" w:eastAsia="仿宋_GB2312"/>
          <w:b/>
          <w:sz w:val="28"/>
        </w:rPr>
        <w:t>第一部分  货币金融学</w:t>
      </w:r>
    </w:p>
    <w:p>
      <w:pPr>
        <w:autoSpaceDE w:val="0"/>
        <w:autoSpaceDN w:val="0"/>
        <w:adjustRightInd w:val="0"/>
        <w:rPr>
          <w:b/>
          <w:szCs w:val="21"/>
        </w:rPr>
      </w:pPr>
      <w:r>
        <w:rPr>
          <w:rFonts w:hint="eastAsia"/>
          <w:b/>
          <w:szCs w:val="21"/>
        </w:rPr>
        <w:t>（一）货币与货币制度</w:t>
      </w:r>
    </w:p>
    <w:p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hint="eastAsia"/>
        </w:rPr>
        <w:t>货币的产生与定义</w:t>
      </w:r>
    </w:p>
    <w:p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hint="eastAsia"/>
        </w:rPr>
        <w:t>货币的职能</w:t>
      </w:r>
    </w:p>
    <w:p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hint="eastAsia"/>
        </w:rPr>
        <w:t>货币形式的演进</w:t>
      </w:r>
    </w:p>
    <w:p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hint="eastAsia"/>
        </w:rPr>
        <w:t>货币的本位制度</w:t>
      </w:r>
    </w:p>
    <w:p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hint="eastAsia"/>
        </w:rPr>
        <w:t>货币层次的划分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szCs w:val="21"/>
        </w:rPr>
      </w:pPr>
      <w:r>
        <w:rPr>
          <w:rFonts w:hint="eastAsia"/>
        </w:rPr>
        <w:t>金融创新与货币层次划分</w:t>
      </w:r>
    </w:p>
    <w:p>
      <w:pPr>
        <w:autoSpaceDE w:val="0"/>
        <w:autoSpaceDN w:val="0"/>
        <w:adjustRightInd w:val="0"/>
        <w:rPr>
          <w:rFonts w:hint="eastAsia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（二）金融体系概览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金融体系的融资方式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金融体系</w:t>
      </w:r>
      <w:r>
        <w:t>的功能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金融市场和金融工具</w:t>
      </w:r>
    </w:p>
    <w:p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hint="eastAsia"/>
        </w:rPr>
        <w:t>金融中介机构</w:t>
      </w:r>
    </w:p>
    <w:p>
      <w:pPr>
        <w:numPr>
          <w:ilvl w:val="0"/>
          <w:numId w:val="2"/>
        </w:num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金融</w:t>
      </w:r>
      <w:r>
        <w:t>体系的监管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（三）利率与利率计算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利率与利率种类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单利和复利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现值和终值</w:t>
      </w:r>
    </w:p>
    <w:p>
      <w:pPr>
        <w:numPr>
          <w:ilvl w:val="0"/>
          <w:numId w:val="3"/>
        </w:numPr>
      </w:pPr>
      <w:r>
        <w:rPr>
          <w:rFonts w:hint="eastAsia"/>
        </w:rPr>
        <w:t>到期收益率和回报率</w:t>
      </w:r>
    </w:p>
    <w:p>
      <w:pPr>
        <w:numPr>
          <w:ilvl w:val="0"/>
          <w:numId w:val="3"/>
        </w:numPr>
      </w:pPr>
      <w:r>
        <w:rPr>
          <w:rFonts w:hint="eastAsia"/>
        </w:rPr>
        <w:t>我国利率市场化改革</w:t>
      </w:r>
    </w:p>
    <w:p>
      <w:pPr>
        <w:rPr>
          <w:rFonts w:hint="eastAsia"/>
          <w:b/>
          <w:szCs w:val="21"/>
        </w:rPr>
      </w:pPr>
    </w:p>
    <w:p>
      <w:pPr>
        <w:rPr>
          <w:rFonts w:hint="eastAsia" w:hAnsi="宋体"/>
          <w:b/>
          <w:szCs w:val="21"/>
        </w:rPr>
      </w:pPr>
      <w:r>
        <w:rPr>
          <w:rFonts w:hint="eastAsia"/>
          <w:b/>
          <w:szCs w:val="21"/>
        </w:rPr>
        <w:t>（四）</w:t>
      </w:r>
      <w:r>
        <w:rPr>
          <w:rFonts w:hint="eastAsia" w:hAnsi="宋体"/>
          <w:b/>
          <w:szCs w:val="21"/>
        </w:rPr>
        <w:t>利率决定理论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资产需求的决定因素和资产需求理论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利率决定的债券供求分析及均衡利率变动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/>
        </w:rPr>
      </w:pPr>
      <w:r>
        <w:rPr>
          <w:rFonts w:hint="eastAsia" w:ascii="宋体" w:hAnsi="宋体"/>
          <w:szCs w:val="21"/>
        </w:rPr>
        <w:t>利率决定的货币供求分析及均衡利率变动</w:t>
      </w:r>
    </w:p>
    <w:p>
      <w:pPr>
        <w:rPr>
          <w:rFonts w:hAnsi="宋体"/>
        </w:rPr>
      </w:pPr>
    </w:p>
    <w:p>
      <w:pPr>
        <w:rPr>
          <w:b/>
        </w:rPr>
      </w:pPr>
      <w:r>
        <w:rPr>
          <w:rFonts w:hint="eastAsia"/>
          <w:b/>
        </w:rPr>
        <w:t>（五）利率结构理论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利率的风险结构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预期理论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市场分割理论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流动性溢价理论和期限优先理论</w:t>
      </w:r>
    </w:p>
    <w:p>
      <w:pPr>
        <w:rPr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（六）汇率、汇率决定与汇率制度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汇率的相关概念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长期汇率的决定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短期汇率的决定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bCs/>
          <w:szCs w:val="21"/>
        </w:rPr>
      </w:pPr>
      <w:r>
        <w:rPr>
          <w:rFonts w:hint="eastAsia" w:ascii="宋体" w:hAnsi="宋体"/>
          <w:szCs w:val="21"/>
        </w:rPr>
        <w:t>汇率制度和</w:t>
      </w:r>
      <w:r>
        <w:rPr>
          <w:rFonts w:hint="eastAsia"/>
          <w:bCs/>
          <w:szCs w:val="21"/>
        </w:rPr>
        <w:t>国际收支</w:t>
      </w:r>
    </w:p>
    <w:p>
      <w:pPr>
        <w:numPr>
          <w:ilvl w:val="0"/>
          <w:numId w:val="4"/>
        </w:numPr>
        <w:autoSpaceDE w:val="0"/>
        <w:autoSpaceDN w:val="0"/>
        <w:adjustRightInd w:val="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我国人民币汇率制度改革</w:t>
      </w:r>
    </w:p>
    <w:p>
      <w:pPr>
        <w:rPr>
          <w:rFonts w:ascii="宋体"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（七）股票市场与有效市场假说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股票相关概念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普通股股票估值模型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股票市场的定价机制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理性预期理论及有效市场假说</w:t>
      </w:r>
    </w:p>
    <w:p>
      <w:pPr>
        <w:pStyle w:val="4"/>
        <w:ind w:left="0" w:leftChars="0"/>
        <w:rPr>
          <w:rFonts w:hint="eastAsia"/>
          <w:bCs/>
          <w:szCs w:val="21"/>
        </w:rPr>
      </w:pPr>
    </w:p>
    <w:p>
      <w:pPr>
        <w:pStyle w:val="4"/>
        <w:ind w:left="0" w:leftChars="0"/>
        <w:rPr>
          <w:rFonts w:hAnsi="宋体"/>
          <w:b/>
          <w:szCs w:val="21"/>
        </w:rPr>
      </w:pPr>
      <w:r>
        <w:rPr>
          <w:rFonts w:hint="eastAsia"/>
          <w:b/>
        </w:rPr>
        <w:t>（八）金融机构概览与</w:t>
      </w:r>
      <w:r>
        <w:rPr>
          <w:rFonts w:hint="eastAsia" w:hAnsi="宋体"/>
          <w:b/>
          <w:szCs w:val="21"/>
        </w:rPr>
        <w:t>金融结构</w:t>
      </w:r>
      <w:r>
        <w:rPr>
          <w:rFonts w:hAnsi="宋体"/>
          <w:b/>
          <w:szCs w:val="21"/>
        </w:rPr>
        <w:t>的经济学分析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金融机构类型和我国金融机构体系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世界各国金融结构的基本特征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交易成本和信息不对称如何影响金融结构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信息不对称问题的解决办法</w:t>
      </w:r>
    </w:p>
    <w:p>
      <w:pPr>
        <w:rPr>
          <w:rFonts w:hint="eastAsia" w:hAnsi="宋体"/>
        </w:rPr>
      </w:pPr>
    </w:p>
    <w:p>
      <w:pPr>
        <w:tabs>
          <w:tab w:val="left" w:pos="1992"/>
        </w:tabs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（九）商业银行业务与管理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商业银行基本概念和我国银行业金融机构概况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商业银行主要业务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商业银行经营</w:t>
      </w:r>
      <w:r>
        <w:rPr>
          <w:bCs/>
          <w:szCs w:val="21"/>
        </w:rPr>
        <w:t>管理的基本原则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商业银行流动性管理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商业银行资产负债管理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商业银行资本充足性管理</w:t>
      </w:r>
    </w:p>
    <w:p>
      <w:pPr>
        <w:numPr>
          <w:ilvl w:val="0"/>
          <w:numId w:val="5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商业银行信用风险管理</w:t>
      </w:r>
    </w:p>
    <w:p>
      <w:pPr>
        <w:numPr>
          <w:ilvl w:val="0"/>
          <w:numId w:val="5"/>
        </w:numPr>
        <w:rPr>
          <w:bCs/>
          <w:szCs w:val="21"/>
        </w:rPr>
      </w:pPr>
      <w:r>
        <w:rPr>
          <w:rFonts w:hint="eastAsia"/>
          <w:bCs/>
          <w:szCs w:val="21"/>
        </w:rPr>
        <w:t>商业银行利率风险管理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（十）非银行金融机构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保险公司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投资银行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信托公司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投资基金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其他非存款类金融机构</w:t>
      </w:r>
    </w:p>
    <w:p>
      <w:pPr>
        <w:rPr>
          <w:rFonts w:hAnsi="宋体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（十一）金融监管体系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金融监管的经济学分析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政府安全网：存款保险制度和最后贷款人制度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金融监管体制和监管措施</w:t>
      </w:r>
    </w:p>
    <w:p>
      <w:pPr>
        <w:numPr>
          <w:ilvl w:val="0"/>
          <w:numId w:val="6"/>
        </w:numPr>
        <w:autoSpaceDE w:val="0"/>
        <w:autoSpaceDN w:val="0"/>
        <w:adjustRightIn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我国金融监管体系</w:t>
      </w:r>
    </w:p>
    <w:p>
      <w:pPr>
        <w:rPr>
          <w:rFonts w:hint="eastAsia" w:hAnsi="宋体"/>
        </w:rPr>
      </w:pPr>
    </w:p>
    <w:p>
      <w:pPr>
        <w:rPr>
          <w:rFonts w:hAnsi="宋体"/>
          <w:b/>
        </w:rPr>
      </w:pPr>
      <w:r>
        <w:rPr>
          <w:rFonts w:hint="eastAsia" w:hAnsi="宋体"/>
          <w:b/>
        </w:rPr>
        <w:t>（十二）中央银行</w:t>
      </w:r>
    </w:p>
    <w:p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hint="eastAsia"/>
        </w:rPr>
        <w:t>中央银行的产生</w:t>
      </w:r>
    </w:p>
    <w:p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hint="eastAsia"/>
        </w:rPr>
        <w:t>中央银行的特征和职能</w:t>
      </w:r>
    </w:p>
    <w:p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hint="eastAsia"/>
        </w:rPr>
        <w:t>中央银行的业务</w:t>
      </w:r>
    </w:p>
    <w:p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hint="eastAsia"/>
        </w:rPr>
        <w:t>中央银行制度类型</w:t>
      </w:r>
    </w:p>
    <w:p>
      <w:pPr>
        <w:numPr>
          <w:ilvl w:val="0"/>
          <w:numId w:val="7"/>
        </w:numPr>
        <w:autoSpaceDE w:val="0"/>
        <w:autoSpaceDN w:val="0"/>
        <w:adjustRightInd w:val="0"/>
      </w:pPr>
      <w:r>
        <w:rPr>
          <w:rFonts w:hint="eastAsia"/>
        </w:rPr>
        <w:t>中国人民银行与美联储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/>
          <w:b/>
          <w:color w:val="000000"/>
        </w:rPr>
      </w:pPr>
      <w:r>
        <w:rPr>
          <w:rFonts w:hint="eastAsia"/>
          <w:b/>
          <w:szCs w:val="21"/>
        </w:rPr>
        <w:t>（十三）货币供给</w:t>
      </w:r>
    </w:p>
    <w:p>
      <w:pPr>
        <w:numPr>
          <w:ilvl w:val="0"/>
          <w:numId w:val="7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存款货币创造机制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基础货币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货币乘数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货币供给影响因素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（十四）货币需求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货币需求的含义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古典货币数量论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凯恩斯的流动性偏好</w:t>
      </w:r>
      <w:r>
        <w:rPr>
          <w:rFonts w:ascii="宋体" w:hAnsi="宋体"/>
          <w:szCs w:val="21"/>
        </w:rPr>
        <w:t>理论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弗里德曼的现代货币数量论</w:t>
      </w:r>
    </w:p>
    <w:p>
      <w:pPr>
        <w:autoSpaceDE w:val="0"/>
        <w:autoSpaceDN w:val="0"/>
        <w:adjustRightInd w:val="0"/>
        <w:rPr>
          <w:rFonts w:hint="eastAsia" w:ascii="宋体" w:hAnsi="宋体"/>
          <w:b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szCs w:val="21"/>
        </w:rPr>
      </w:pPr>
      <w:r>
        <w:rPr>
          <w:rFonts w:hint="eastAsia" w:ascii="宋体" w:hAnsi="宋体"/>
          <w:b/>
          <w:szCs w:val="21"/>
        </w:rPr>
        <w:t>（十五）货币政策目标与工具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货币政策最终目标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货币政策中间目标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货币政策工具</w:t>
      </w:r>
    </w:p>
    <w:p>
      <w:pPr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rPr>
          <w:rFonts w:hint="eastAsia"/>
          <w:b/>
          <w:szCs w:val="21"/>
        </w:rPr>
      </w:pPr>
      <w:r>
        <w:rPr>
          <w:rFonts w:hint="eastAsia" w:ascii="宋体" w:hAnsi="宋体"/>
          <w:b/>
          <w:szCs w:val="21"/>
        </w:rPr>
        <w:t>（十六）货币政策操作与传导机制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中国人民银行货币政策操作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美联储货币政策操作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货币政策传导机制</w:t>
      </w:r>
    </w:p>
    <w:p>
      <w:pPr>
        <w:numPr>
          <w:ilvl w:val="0"/>
          <w:numId w:val="8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货币政策时滞</w:t>
      </w:r>
    </w:p>
    <w:p>
      <w:pPr>
        <w:rPr>
          <w:rFonts w:hint="eastAsia" w:ascii="宋体" w:hAnsi="宋体"/>
          <w:szCs w:val="21"/>
        </w:rPr>
      </w:pPr>
    </w:p>
    <w:p>
      <w:pPr>
        <w:autoSpaceDE w:val="0"/>
        <w:autoSpaceDN w:val="0"/>
        <w:adjustRightInd w:val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（十七）通货膨胀与通货紧缩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总需求与总供给模型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通货膨胀</w:t>
      </w:r>
    </w:p>
    <w:p>
      <w:pPr>
        <w:numPr>
          <w:ilvl w:val="0"/>
          <w:numId w:val="8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通货紧缩</w:t>
      </w:r>
    </w:p>
    <w:p>
      <w:pPr>
        <w:rPr>
          <w:rFonts w:hint="eastAsia"/>
          <w:szCs w:val="21"/>
        </w:rPr>
      </w:pPr>
    </w:p>
    <w:p>
      <w:pPr>
        <w:snapToGrid w:val="0"/>
        <w:rPr>
          <w:rFonts w:hint="eastAsia" w:eastAsia="仿宋_GB2312"/>
          <w:sz w:val="24"/>
        </w:rPr>
      </w:pPr>
    </w:p>
    <w:p>
      <w:pPr>
        <w:snapToGrid w:val="0"/>
        <w:jc w:val="center"/>
        <w:rPr>
          <w:rFonts w:hint="eastAsia" w:eastAsia="仿宋_GB2312"/>
          <w:b/>
          <w:sz w:val="28"/>
          <w:szCs w:val="36"/>
        </w:rPr>
      </w:pPr>
      <w:r>
        <w:rPr>
          <w:rFonts w:hint="eastAsia" w:eastAsia="仿宋_GB2312"/>
          <w:b/>
          <w:sz w:val="28"/>
          <w:szCs w:val="36"/>
        </w:rPr>
        <w:t>第二部分 公司金融</w:t>
      </w:r>
    </w:p>
    <w:p>
      <w:pPr>
        <w:jc w:val="center"/>
        <w:rPr>
          <w:rFonts w:hint="eastAsia"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（一）公司金融概述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公司经营的目标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代理人问题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金融市场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（二）财务报表分析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资产负债表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利润表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现金流量表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比率分析与杜邦恒等式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（三）长期财务计划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销售百分比法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外部融资与增长</w:t>
      </w:r>
    </w:p>
    <w:p>
      <w:pPr>
        <w:pStyle w:val="8"/>
        <w:rPr>
          <w:rFonts w:hint="eastAsia" w:ascii="宋体" w:hAnsi="宋体"/>
          <w:bCs w:val="0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（四）折现与价值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货币的时间价值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年金与永续年金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贷款种类与分期偿还贷款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债券的估值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股票的估值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（五）资本预算</w:t>
      </w:r>
    </w:p>
    <w:p>
      <w:pPr>
        <w:pStyle w:val="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投资决策方法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增量现金流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净现值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回收期法则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平均会计报酬率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  NPV估计值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●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PV</w:t>
      </w:r>
      <w:r>
        <w:rPr>
          <w:rFonts w:hint="eastAsia" w:ascii="宋体" w:hAnsi="宋体"/>
          <w:szCs w:val="21"/>
        </w:rPr>
        <w:t>法，F</w:t>
      </w:r>
      <w:r>
        <w:rPr>
          <w:rFonts w:ascii="宋体" w:hAnsi="宋体"/>
          <w:szCs w:val="21"/>
        </w:rPr>
        <w:t>TE</w:t>
      </w:r>
      <w:r>
        <w:rPr>
          <w:rFonts w:hint="eastAsia" w:ascii="宋体" w:hAnsi="宋体"/>
          <w:szCs w:val="21"/>
        </w:rPr>
        <w:t>法和W</w:t>
      </w:r>
      <w:r>
        <w:rPr>
          <w:rFonts w:ascii="宋体" w:hAnsi="宋体"/>
          <w:szCs w:val="21"/>
        </w:rPr>
        <w:t>ACC法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六</w:t>
      </w:r>
      <w:r>
        <w:rPr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风险分析、实务期权和资本预算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敏感性分析、场景分析和盈亏平衡分析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经营杠杆和财务杠杆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蒙特卡洛模拟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实物期权</w:t>
      </w:r>
    </w:p>
    <w:p>
      <w:pPr>
        <w:numPr>
          <w:ilvl w:val="0"/>
          <w:numId w:val="9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决策树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（七）期权、期货与公司理财期权与公司理财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看涨期权与看跌期权、期权组合和期权定价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股票和债券的期权视角，项目投资的期权应用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二叉树模型、布莱克</w:t>
      </w:r>
      <w:r>
        <w:rPr>
          <w:rFonts w:hint="eastAsia" w:ascii="宋体" w:hAnsi="宋体"/>
          <w:szCs w:val="21"/>
        </w:rPr>
        <w:t>-斯科尔斯</w:t>
      </w:r>
      <w:r>
        <w:rPr>
          <w:rFonts w:ascii="宋体" w:hAnsi="宋体"/>
          <w:szCs w:val="21"/>
        </w:rPr>
        <w:t>模型及其应用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认股权证与可转换债券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衍生品与套期保值风险</w:t>
      </w:r>
    </w:p>
    <w:p>
      <w:pPr>
        <w:jc w:val="left"/>
        <w:rPr>
          <w:rFonts w:ascii="宋体"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（八）收购、兼并与剥离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收购方案与动机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兼并的净值管理与策略</w:t>
      </w:r>
    </w:p>
    <w:p>
      <w:pPr>
        <w:numPr>
          <w:ilvl w:val="0"/>
          <w:numId w:val="9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杠杠收购与资产剥离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（九）风险与收益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风险与收益的度量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投资组合、有效集和多元化投资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系统风险和非系统风险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证券市场线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资本资产定价模型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套利定价模型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（十）资本成本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权益成本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●  债务成本和优先股成本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●  加权平均资本成本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●  部门与项目资本成本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发行成本与加权平均资本成本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（十一）筹集资本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早期融资与风险资本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公开发行与私募发行</w:t>
      </w:r>
    </w:p>
    <w:p>
      <w:pPr>
        <w:numPr>
          <w:ilvl w:val="0"/>
          <w:numId w:val="9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证券承销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IPO抑价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租赁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权益发售与公司价值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债务发售与公司价值</w:t>
      </w:r>
    </w:p>
    <w:p>
      <w:pPr>
        <w:numPr>
          <w:ilvl w:val="0"/>
          <w:numId w:val="9"/>
        </w:num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股票稀释与配股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（十二）资本结构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●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财务杠杆效应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●  MM理论，静态资本结构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财务困境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优序融资理论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（十三）股利与股利政策</w:t>
      </w:r>
    </w:p>
    <w:p>
      <w:pPr>
        <w:numPr>
          <w:ilvl w:val="0"/>
          <w:numId w:val="1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现金股利与股票股利</w:t>
      </w:r>
    </w:p>
    <w:p>
      <w:pPr>
        <w:numPr>
          <w:ilvl w:val="0"/>
          <w:numId w:val="1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股利政策</w:t>
      </w:r>
    </w:p>
    <w:p>
      <w:pPr>
        <w:numPr>
          <w:ilvl w:val="0"/>
          <w:numId w:val="1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股票回购</w:t>
      </w:r>
    </w:p>
    <w:p>
      <w:pPr>
        <w:numPr>
          <w:ilvl w:val="0"/>
          <w:numId w:val="10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拆股与反向拆股</w:t>
      </w:r>
    </w:p>
    <w:p>
      <w:pPr>
        <w:rPr>
          <w:rFonts w:ascii="宋体" w:hAnsi="宋体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（十四）短期财务计划与管理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短期财务与计划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现金和流动性管理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信用和存货管理</w:t>
      </w:r>
    </w:p>
    <w:p>
      <w:pPr>
        <w:rPr>
          <w:rFonts w:ascii="宋体" w:hAnsi="宋体"/>
          <w:szCs w:val="21"/>
          <w:highlight w:val="yellow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（十五）国际公司理财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外汇市场与汇率</w:t>
      </w:r>
    </w:p>
    <w:p>
      <w:pPr>
        <w:numPr>
          <w:ilvl w:val="0"/>
          <w:numId w:val="9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国际资本预算</w:t>
      </w:r>
    </w:p>
    <w:p>
      <w:pPr>
        <w:numPr>
          <w:ilvl w:val="0"/>
          <w:numId w:val="9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国际金融风险分析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宋体" w:hAnsi="宋体"/>
          <w:b/>
          <w:szCs w:val="21"/>
        </w:rPr>
      </w:pPr>
    </w:p>
    <w:p>
      <w:pPr>
        <w:snapToGrid w:val="0"/>
        <w:spacing w:before="156" w:beforeLines="50" w:after="156" w:afterLines="50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四、考试方式与分值</w:t>
      </w:r>
    </w:p>
    <w:p>
      <w:pPr>
        <w:snapToGrid w:val="0"/>
        <w:spacing w:line="360" w:lineRule="auto"/>
        <w:ind w:firstLine="420" w:firstLineChars="200"/>
      </w:pPr>
      <w:r>
        <w:rPr>
          <w:rFonts w:ascii="宋体" w:hAnsi="宋体"/>
          <w:szCs w:val="21"/>
        </w:rPr>
        <w:t>本科目满分1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0分，</w:t>
      </w:r>
      <w:r>
        <w:rPr>
          <w:rFonts w:hint="eastAsia" w:ascii="宋体" w:hAnsi="宋体"/>
          <w:szCs w:val="21"/>
        </w:rPr>
        <w:t>其中，货币金融学部分为90分，公司金融部分为60分，</w:t>
      </w:r>
      <w:r>
        <w:rPr>
          <w:rFonts w:ascii="宋体" w:hAnsi="宋体"/>
          <w:szCs w:val="21"/>
        </w:rPr>
        <w:t>由培养单位自行命题，全国统一考试。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简体">
    <w:altName w:val="黑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6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F0"/>
    <w:multiLevelType w:val="multilevel"/>
    <w:tmpl w:val="014A2BF0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DA3D98"/>
    <w:multiLevelType w:val="multilevel"/>
    <w:tmpl w:val="01DA3D98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CCB755F"/>
    <w:multiLevelType w:val="multilevel"/>
    <w:tmpl w:val="0CCB755F"/>
    <w:lvl w:ilvl="0" w:tentative="0">
      <w:start w:val="8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7FE7ED1"/>
    <w:multiLevelType w:val="multilevel"/>
    <w:tmpl w:val="27FE7ED1"/>
    <w:lvl w:ilvl="0" w:tentative="0">
      <w:start w:val="0"/>
      <w:numFmt w:val="bullet"/>
      <w:lvlText w:val="●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9642398"/>
    <w:multiLevelType w:val="multilevel"/>
    <w:tmpl w:val="29642398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DF25315"/>
    <w:multiLevelType w:val="multilevel"/>
    <w:tmpl w:val="2DF25315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2F6B5D6C"/>
    <w:multiLevelType w:val="multilevel"/>
    <w:tmpl w:val="2F6B5D6C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5BA6AC9"/>
    <w:multiLevelType w:val="multilevel"/>
    <w:tmpl w:val="35BA6AC9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0965D65"/>
    <w:multiLevelType w:val="multilevel"/>
    <w:tmpl w:val="50965D65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6CB36CA3"/>
    <w:multiLevelType w:val="multilevel"/>
    <w:tmpl w:val="6CB36CA3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3"/>
    <w:rsid w:val="00001A32"/>
    <w:rsid w:val="000022B8"/>
    <w:rsid w:val="0001421D"/>
    <w:rsid w:val="00021FA3"/>
    <w:rsid w:val="00024489"/>
    <w:rsid w:val="0003280F"/>
    <w:rsid w:val="000328B9"/>
    <w:rsid w:val="00052EA8"/>
    <w:rsid w:val="00054AEF"/>
    <w:rsid w:val="00055D21"/>
    <w:rsid w:val="000711A2"/>
    <w:rsid w:val="00086063"/>
    <w:rsid w:val="0009353E"/>
    <w:rsid w:val="000A66D3"/>
    <w:rsid w:val="000B2DC0"/>
    <w:rsid w:val="000F11B0"/>
    <w:rsid w:val="000F40C2"/>
    <w:rsid w:val="001446A2"/>
    <w:rsid w:val="00165A9B"/>
    <w:rsid w:val="0017320C"/>
    <w:rsid w:val="00174149"/>
    <w:rsid w:val="00184CAB"/>
    <w:rsid w:val="001953C2"/>
    <w:rsid w:val="001A08D5"/>
    <w:rsid w:val="001A2406"/>
    <w:rsid w:val="001A2E3E"/>
    <w:rsid w:val="001C10EC"/>
    <w:rsid w:val="001C4C73"/>
    <w:rsid w:val="001F3CB7"/>
    <w:rsid w:val="00201960"/>
    <w:rsid w:val="002022F9"/>
    <w:rsid w:val="00247CE4"/>
    <w:rsid w:val="002520BF"/>
    <w:rsid w:val="00284679"/>
    <w:rsid w:val="00292B6B"/>
    <w:rsid w:val="002B2542"/>
    <w:rsid w:val="002B3BA4"/>
    <w:rsid w:val="002C4DCF"/>
    <w:rsid w:val="00302A25"/>
    <w:rsid w:val="00304ECF"/>
    <w:rsid w:val="003050D1"/>
    <w:rsid w:val="00311F78"/>
    <w:rsid w:val="0031785A"/>
    <w:rsid w:val="00363D09"/>
    <w:rsid w:val="003848B0"/>
    <w:rsid w:val="003A1ACD"/>
    <w:rsid w:val="003B4028"/>
    <w:rsid w:val="003B5C22"/>
    <w:rsid w:val="003C3C65"/>
    <w:rsid w:val="00405D13"/>
    <w:rsid w:val="004064E1"/>
    <w:rsid w:val="00412DB9"/>
    <w:rsid w:val="00422705"/>
    <w:rsid w:val="004431CA"/>
    <w:rsid w:val="00445667"/>
    <w:rsid w:val="004505F0"/>
    <w:rsid w:val="00450F9D"/>
    <w:rsid w:val="00481804"/>
    <w:rsid w:val="00486A5C"/>
    <w:rsid w:val="00492245"/>
    <w:rsid w:val="00496F45"/>
    <w:rsid w:val="004B5CD6"/>
    <w:rsid w:val="004E39B3"/>
    <w:rsid w:val="004F4209"/>
    <w:rsid w:val="00510607"/>
    <w:rsid w:val="005418A1"/>
    <w:rsid w:val="005440C7"/>
    <w:rsid w:val="005562ED"/>
    <w:rsid w:val="00570227"/>
    <w:rsid w:val="00571273"/>
    <w:rsid w:val="0058299C"/>
    <w:rsid w:val="005866FE"/>
    <w:rsid w:val="005930C3"/>
    <w:rsid w:val="005C3F5B"/>
    <w:rsid w:val="005D001D"/>
    <w:rsid w:val="00613AD1"/>
    <w:rsid w:val="0063307F"/>
    <w:rsid w:val="00633B3D"/>
    <w:rsid w:val="006409B3"/>
    <w:rsid w:val="00652CEA"/>
    <w:rsid w:val="00664CDF"/>
    <w:rsid w:val="00666362"/>
    <w:rsid w:val="00682CFD"/>
    <w:rsid w:val="00683B17"/>
    <w:rsid w:val="00696489"/>
    <w:rsid w:val="006B2990"/>
    <w:rsid w:val="006B33A0"/>
    <w:rsid w:val="006B42D1"/>
    <w:rsid w:val="006E06D9"/>
    <w:rsid w:val="006E5711"/>
    <w:rsid w:val="006E7766"/>
    <w:rsid w:val="006F5961"/>
    <w:rsid w:val="00711767"/>
    <w:rsid w:val="007174F4"/>
    <w:rsid w:val="0076611A"/>
    <w:rsid w:val="007668BA"/>
    <w:rsid w:val="00776AEA"/>
    <w:rsid w:val="00786237"/>
    <w:rsid w:val="0079578D"/>
    <w:rsid w:val="007A3F88"/>
    <w:rsid w:val="007A726C"/>
    <w:rsid w:val="007C59FB"/>
    <w:rsid w:val="007E3152"/>
    <w:rsid w:val="007F536D"/>
    <w:rsid w:val="007F7B69"/>
    <w:rsid w:val="008114B7"/>
    <w:rsid w:val="00825850"/>
    <w:rsid w:val="008633BC"/>
    <w:rsid w:val="0086609D"/>
    <w:rsid w:val="00873348"/>
    <w:rsid w:val="008C1ACF"/>
    <w:rsid w:val="008C1C44"/>
    <w:rsid w:val="008E2B62"/>
    <w:rsid w:val="008F3AD6"/>
    <w:rsid w:val="0092223D"/>
    <w:rsid w:val="00935B54"/>
    <w:rsid w:val="00942060"/>
    <w:rsid w:val="00943146"/>
    <w:rsid w:val="0099012F"/>
    <w:rsid w:val="0099014E"/>
    <w:rsid w:val="009A1028"/>
    <w:rsid w:val="009C0611"/>
    <w:rsid w:val="009F1F09"/>
    <w:rsid w:val="00A2476B"/>
    <w:rsid w:val="00A47858"/>
    <w:rsid w:val="00A52DF5"/>
    <w:rsid w:val="00A60484"/>
    <w:rsid w:val="00A6241E"/>
    <w:rsid w:val="00A75B99"/>
    <w:rsid w:val="00A8686E"/>
    <w:rsid w:val="00A90DC4"/>
    <w:rsid w:val="00A92257"/>
    <w:rsid w:val="00AD4AB4"/>
    <w:rsid w:val="00AE05EA"/>
    <w:rsid w:val="00AE0FDA"/>
    <w:rsid w:val="00AE2444"/>
    <w:rsid w:val="00AE5A85"/>
    <w:rsid w:val="00AF19E7"/>
    <w:rsid w:val="00B17ED5"/>
    <w:rsid w:val="00B2188C"/>
    <w:rsid w:val="00B2421D"/>
    <w:rsid w:val="00B30734"/>
    <w:rsid w:val="00B36839"/>
    <w:rsid w:val="00B57110"/>
    <w:rsid w:val="00B658D4"/>
    <w:rsid w:val="00B910DE"/>
    <w:rsid w:val="00B91962"/>
    <w:rsid w:val="00B93A08"/>
    <w:rsid w:val="00B93DC7"/>
    <w:rsid w:val="00BA1CF8"/>
    <w:rsid w:val="00BB40AC"/>
    <w:rsid w:val="00BB4E86"/>
    <w:rsid w:val="00BB5D51"/>
    <w:rsid w:val="00BD5850"/>
    <w:rsid w:val="00BE4409"/>
    <w:rsid w:val="00C134ED"/>
    <w:rsid w:val="00C32799"/>
    <w:rsid w:val="00C453D4"/>
    <w:rsid w:val="00C47282"/>
    <w:rsid w:val="00C55ACB"/>
    <w:rsid w:val="00C7064F"/>
    <w:rsid w:val="00CC2DDB"/>
    <w:rsid w:val="00D245AA"/>
    <w:rsid w:val="00D52A63"/>
    <w:rsid w:val="00D56B1A"/>
    <w:rsid w:val="00D62D23"/>
    <w:rsid w:val="00D64413"/>
    <w:rsid w:val="00D9332F"/>
    <w:rsid w:val="00DA1AAD"/>
    <w:rsid w:val="00DC07BD"/>
    <w:rsid w:val="00DD1435"/>
    <w:rsid w:val="00DE2890"/>
    <w:rsid w:val="00DE610D"/>
    <w:rsid w:val="00E2035F"/>
    <w:rsid w:val="00E45F60"/>
    <w:rsid w:val="00E84931"/>
    <w:rsid w:val="00E912D9"/>
    <w:rsid w:val="00E93D48"/>
    <w:rsid w:val="00EA42D3"/>
    <w:rsid w:val="00ED21FE"/>
    <w:rsid w:val="00ED2488"/>
    <w:rsid w:val="00ED7B4B"/>
    <w:rsid w:val="00F12A3F"/>
    <w:rsid w:val="00F25D93"/>
    <w:rsid w:val="00F543BE"/>
    <w:rsid w:val="00F656F3"/>
    <w:rsid w:val="00F9271C"/>
    <w:rsid w:val="00FA429D"/>
    <w:rsid w:val="00FB2C59"/>
    <w:rsid w:val="00FB5377"/>
    <w:rsid w:val="00FC5D74"/>
    <w:rsid w:val="00FF0C5F"/>
    <w:rsid w:val="00FF0DEC"/>
    <w:rsid w:val="6C07275B"/>
    <w:rsid w:val="756A0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方正行楷简体"/>
      <w:b/>
      <w:sz w:val="24"/>
      <w:szCs w:val="20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3"/>
    <w:semiHidden/>
    <w:uiPriority w:val="0"/>
    <w:pPr>
      <w:jc w:val="left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4"/>
    <w:semiHidden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paragraph" w:styleId="12">
    <w:name w:val=""/>
    <w:hidden/>
    <w:semiHidden/>
    <w:uiPriority w:val="99"/>
    <w:rPr>
      <w:kern w:val="2"/>
      <w:sz w:val="21"/>
      <w:szCs w:val="24"/>
      <w:lang w:val="en-US" w:eastAsia="zh-CN" w:bidi="ar-SA"/>
    </w:rPr>
  </w:style>
  <w:style w:type="character" w:customStyle="1" w:styleId="13">
    <w:name w:val="批注文字 Char"/>
    <w:link w:val="3"/>
    <w:semiHidden/>
    <w:uiPriority w:val="0"/>
    <w:rPr>
      <w:kern w:val="2"/>
      <w:sz w:val="21"/>
      <w:szCs w:val="24"/>
    </w:rPr>
  </w:style>
  <w:style w:type="character" w:customStyle="1" w:styleId="14">
    <w:name w:val="批注主题 Char"/>
    <w:link w:val="8"/>
    <w:semiHidden/>
    <w:uiPriority w:val="0"/>
    <w:rPr>
      <w:b/>
      <w:bCs/>
      <w:kern w:val="2"/>
      <w:sz w:val="21"/>
      <w:szCs w:val="24"/>
    </w:rPr>
  </w:style>
  <w:style w:type="character" w:customStyle="1" w:styleId="15">
    <w:name w:val="页脚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330</Words>
  <Characters>1881</Characters>
  <Lines>15</Lines>
  <Paragraphs>4</Paragraphs>
  <TotalTime>0</TotalTime>
  <ScaleCrop>false</ScaleCrop>
  <LinksUpToDate>false</LinksUpToDate>
  <CharactersWithSpaces>2207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2021-09-08T02:13:00Z</dcterms:created>
  <dc:creator>User</dc:creator>
  <cp:lastModifiedBy>Administrator</cp:lastModifiedBy>
  <cp:lastPrinted>2020-07-13T02:36:00Z</cp:lastPrinted>
  <dcterms:modified xsi:type="dcterms:W3CDTF">2021-10-09T09:00:58Z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