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44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考试科目代码及名称：801机械设计基础      学院名称（公章）：机械工程与自动化学院</w:t>
      </w: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 掌握机械设计基础的基础知识和基本理论，并能合理运用解决工程实际问题。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第一章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绪论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了解：机械设计的一般步骤，掌握有关的基本概念，了解零件的常用材料。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第二章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平面机构的自由度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 运动副及其分类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掌握：运动副概念及其分类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平面机构运动简图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掌握：平面机构运动简图的绘制  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平面机构的自由度及其具有确定运动的条件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重点掌握：平面机构的自由度的计算；机构具有确定运动的条件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第三章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平面连杆机构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铰链四杆机构的应用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了解：铰链四杆机构的应用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铰链四杆机构的基本型式和特征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掌握：铰链四杆机构的基本型式和特征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铰链四杆机构的演化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掌握：铰链四杆机构的演化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铰链四杆机构的运动设计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重点掌握：按给定的从动件行程速比系数K图解法设计平面四杆机构的方法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第四章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凸轮机构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凸轮机构的分类和应用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了解：凸轮机构的分类和应用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从动件的常用运动规律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掌握：从动件的常用运动规律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凸轮轮廓的设计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掌握：盘形凸轮轮廓曲线的绘制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设计凸轮机构应注意的问题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掌握：设计凸轮机构应注意的问题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间歇运动机构和组合机构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重点掌握：槽轮机构的运动特性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第五章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齿轮机构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齿轮传动的特点和分类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了解：齿轮传动的特点和分类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齿廓啮合基本定律和齿廓曲线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掌握：齿廓啮合基本定律的内容和共轭齿廓曲线 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渐开线齿廓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掌握：渐开线齿廓的形成、渐开线的性质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渐开线标准直齿圆柱齿轮的基本参数和尺寸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重点掌握：渐开线标准直齿圆柱齿轮的基本参数名称和尺寸计算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渐开线直齿圆柱齿轮的啮合传动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重点掌握：渐开线直齿圆柱齿轮的正确啮合条件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第六节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渐开线齿轮的切削原理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了解：渐开线齿轮的切削原理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第七节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根切、最少齿数和变位齿轮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重点掌握：齿轮根切原因、不发生根切的最少齿数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了解：变位齿轮的概念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第八节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斜齿圆柱齿轮机构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重点掌握：斜齿圆柱齿轮机构正确啮合条件、法面参数、端面参数概念和计算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第九节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圆锥齿轮机构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了解：圆锥齿轮机构工作特点及基本参数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第十节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蜗杆蜗轮机构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了解：蜗杆蜗轮机构工作特点及基本参数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第六章</w:t>
      </w:r>
      <w:r>
        <w:rPr>
          <w:rFonts w:hint="eastAsia" w:ascii="仿宋_GB2312" w:hAnsi="黑体" w:eastAsia="仿宋_GB2312"/>
          <w:b/>
          <w:sz w:val="24"/>
        </w:rPr>
        <w:tab/>
      </w:r>
      <w:r>
        <w:rPr>
          <w:rFonts w:hint="eastAsia" w:ascii="仿宋_GB2312" w:hAnsi="黑体" w:eastAsia="仿宋_GB2312"/>
          <w:b/>
          <w:sz w:val="24"/>
        </w:rPr>
        <w:t>轮系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轮系的类型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掌握：轮系的概念和类型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定轴轮系及其传动比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重点掌握：定轴轮系及其传动比的计算、方向的判断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周转轮系及其传动比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重点掌握：周转轮系及其传动比的计算、方向的判断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混合轮系及其传动比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重点掌握：混合轮系及其传动比的计算、方向的判断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轮系的应用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了解：轮系的应用情况  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第七章</w:t>
      </w:r>
      <w:r>
        <w:rPr>
          <w:rFonts w:hint="eastAsia" w:ascii="仿宋_GB2312" w:hAnsi="黑体" w:eastAsia="仿宋_GB2312"/>
          <w:b/>
          <w:sz w:val="24"/>
        </w:rPr>
        <w:tab/>
      </w:r>
      <w:r>
        <w:rPr>
          <w:rFonts w:hint="eastAsia" w:ascii="仿宋_GB2312" w:hAnsi="黑体" w:eastAsia="仿宋_GB2312"/>
          <w:b/>
          <w:sz w:val="24"/>
        </w:rPr>
        <w:t>齿轮传动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齿轮的失效形式及设计准则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掌握：齿轮的失效形式及设计准则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齿轮材料和许用应力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了解：齿轮材料和许用应力的计算     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齿轮传动的精度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了解：齿轮传动的精度等级         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直齿圆柱齿轮的强度计算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掌握：直齿圆柱齿轮的强度计算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直齿圆柱齿轮传动的设计计算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掌握：直齿圆柱齿轮传动的设计计算过程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第六节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斜齿圆柱齿轮传动的强度计算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掌握：斜齿圆柱齿轮传动的强度计算方法及其设计计算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第七节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直齿圆锥齿轮传动的强度计算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了解：直齿圆锥齿轮传动的强度计算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第八节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蜗杆传动的强度计算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了解：蜗杆传动的强度计算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第九节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齿轮的结构与润滑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掌握：齿轮的结构形式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第八章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带传动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带传动的类型和特点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了解：带传动的类型和特点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V带和V带轮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了解：V带和V带轮的类型、结构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带传动的工作情况分析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重点掌握：带传动的工作情况分析，包括带传动中各力、应力的关系，带的弹性滑动和打滑现象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V带传动的设计计算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重点掌握：带传动的失效形式及设计准则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掌握：带传动的主要参数选择并了解设计步骤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第九章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链传动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链传动的类型和特点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了解：链传动的类型和特点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链传动和链轮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了解：链传动类型、特点及链轮的结构     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链传动的运动特性和参数选择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重点掌握：链传动的运动特性、影响链传动工作平稳性的因素及参数选择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链传动的设计计算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掌握：链传动的设计计算步骤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链传动的布置及润滑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了解：链传动的布置及润滑 </w:t>
      </w:r>
    </w:p>
    <w:p>
      <w:pPr>
        <w:spacing w:line="360" w:lineRule="auto"/>
        <w:jc w:val="center"/>
        <w:rPr>
          <w:rFonts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第十章</w:t>
      </w:r>
      <w:r>
        <w:rPr>
          <w:rFonts w:hint="eastAsia" w:ascii="仿宋_GB2312" w:hAnsi="黑体" w:eastAsia="仿宋_GB2312"/>
          <w:b/>
          <w:sz w:val="24"/>
        </w:rPr>
        <w:tab/>
      </w:r>
      <w:r>
        <w:rPr>
          <w:rFonts w:hint="eastAsia" w:ascii="仿宋_GB2312" w:hAnsi="黑体" w:eastAsia="仿宋_GB2312"/>
          <w:b/>
          <w:sz w:val="24"/>
        </w:rPr>
        <w:t>联接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螺纹的主要参数及类型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了解：螺纹的主要参数及类型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螺旋副的受力分析、效率和自锁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重点掌握：螺旋副的受力分析、效率和自锁的概念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螺纹联接的基本类型和联接件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掌握：螺纹联接的基本类型和联接件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螺纹联接的强度计算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重点掌握：螺纹联接的强度计算方法，包括横向、轴向载荷的紧螺栓联接的强度计算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螺纹联接的预紧和防松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重点掌握：螺纹联接的预紧和防松的方法、措施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第六节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螺旋传动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了解：螺旋传动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第十一章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轴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轴的类型和材料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了解：轴的类型和材料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轴的结构设计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重点掌握：轴的结构合理设计、轴上零件的安装、定位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轴的强度计算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掌握：轴的强度计算方法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轴毂联接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掌握：键的类型、选择、轴毂联接的方法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第十二章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轴承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轴承的分类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了解：轴承的分类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滑动轴承的典型结构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了解：滑动轴承的典型结构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非液体摩擦滑动轴承的计算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重点掌握：非液体摩擦滑动轴承的计算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第四节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润滑剂和润滑装置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了解：润滑剂和润滑装置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第五节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滚动轴承的结构、类型、代号和应用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重点掌握：滚动轴承的结构、类型、代号和应用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第六节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滚动轴承的失效形式及选择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重点掌握：滚动轴承的失效形式、滚动轴承的寿命计算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第七节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滚动轴承的组合设计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掌握：滚动轴承的组合设计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第八节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滚动轴承的润滑和密封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了解：滚动轴承的润滑和密封</w:t>
      </w:r>
    </w:p>
    <w:p>
      <w:pPr>
        <w:spacing w:line="360" w:lineRule="auto"/>
        <w:jc w:val="center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第十三章</w:t>
      </w:r>
      <w:r>
        <w:rPr>
          <w:rFonts w:ascii="仿宋_GB2312" w:hAnsi="黑体" w:eastAsia="仿宋_GB2312"/>
          <w:b/>
          <w:sz w:val="24"/>
        </w:rPr>
        <w:t xml:space="preserve"> </w:t>
      </w:r>
      <w:r>
        <w:rPr>
          <w:rFonts w:hint="eastAsia" w:ascii="仿宋_GB2312" w:hAnsi="黑体" w:eastAsia="仿宋_GB2312"/>
          <w:b/>
          <w:sz w:val="24"/>
        </w:rPr>
        <w:t>联轴器和离合器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第一节</w:t>
      </w:r>
      <w:r>
        <w:rPr>
          <w:rFonts w:ascii="仿宋_GB2312" w:hAnsi="黑体" w:eastAsia="仿宋_GB2312"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>联轴器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了解：刚性联轴器和弹性联轴器的主要类型及特点            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第二节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离合器</w:t>
      </w:r>
    </w:p>
    <w:p>
      <w:pPr>
        <w:spacing w:line="360" w:lineRule="auto"/>
        <w:ind w:firstLine="720" w:firstLineChars="3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了解：常见离合器的类型及特点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第三节</w:t>
      </w:r>
      <w:r>
        <w:rPr>
          <w:rFonts w:hint="eastAsia" w:ascii="仿宋_GB2312" w:hAnsi="黑体" w:eastAsia="仿宋_GB2312"/>
          <w:sz w:val="24"/>
        </w:rPr>
        <w:tab/>
      </w:r>
      <w:r>
        <w:rPr>
          <w:rFonts w:hint="eastAsia" w:ascii="仿宋_GB2312" w:hAnsi="黑体" w:eastAsia="仿宋_GB2312"/>
          <w:sz w:val="24"/>
        </w:rPr>
        <w:t>联轴器和离合器的选用</w:t>
      </w: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</w:rPr>
      </w:pPr>
      <w:r>
        <w:rPr>
          <w:rFonts w:hint="eastAsia" w:ascii="仿宋_GB2312" w:hAnsi="黑体" w:eastAsia="仿宋_GB2312"/>
          <w:sz w:val="24"/>
        </w:rPr>
        <w:t>了解：联轴器和离合器的选用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1、基础题（填空、选择）30%；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2、作图题10%；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3、分析题20%；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4、计算题40%。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闭卷笔试；考试时间为180分钟。</w:t>
      </w:r>
    </w:p>
    <w:p>
      <w:pPr>
        <w:rPr>
          <w:rFonts w:hint="eastAsia" w:ascii="仿宋_GB2312" w:hAnsi="黑体" w:eastAsia="仿宋_GB2312"/>
          <w:sz w:val="24"/>
        </w:rPr>
      </w:pPr>
    </w:p>
    <w:p>
      <w:pPr>
        <w:rPr>
          <w:rFonts w:hint="eastAsia" w:ascii="仿宋_GB2312" w:hAnsi="黑体" w:eastAsia="仿宋_GB2312"/>
          <w:sz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ind w:firstLine="360" w:firstLineChars="15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刘艳秋.机械设计基础[M].北京:清华大学出版社, </w:t>
      </w:r>
      <w:r>
        <w:rPr>
          <w:rFonts w:ascii="仿宋_GB2312" w:hAnsi="黑体" w:eastAsia="仿宋_GB2312"/>
          <w:sz w:val="24"/>
        </w:rPr>
        <w:t>2018</w:t>
      </w:r>
      <w:r>
        <w:rPr>
          <w:rFonts w:hint="eastAsia" w:ascii="仿宋_GB2312" w:hAnsi="黑体" w:eastAsia="仿宋_GB2312"/>
          <w:sz w:val="24"/>
        </w:rPr>
        <w:t>.08,第一版.</w:t>
      </w:r>
    </w:p>
    <w:p>
      <w:pPr>
        <w:rPr>
          <w:rFonts w:hint="eastAsia" w:ascii="仿宋_GB2312" w:hAnsi="黑体" w:eastAsia="仿宋_GB2312"/>
          <w:sz w:val="24"/>
        </w:rPr>
      </w:pPr>
    </w:p>
    <w:p>
      <w:pPr>
        <w:rPr>
          <w:rFonts w:ascii="仿宋_GB2312" w:hAnsi="黑体" w:eastAsia="仿宋_GB2312"/>
          <w:sz w:val="24"/>
        </w:rPr>
      </w:pPr>
    </w:p>
    <w:p>
      <w:pPr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41180"/>
    <w:rsid w:val="00071675"/>
    <w:rsid w:val="00082BA2"/>
    <w:rsid w:val="00106A05"/>
    <w:rsid w:val="0012185A"/>
    <w:rsid w:val="00132200"/>
    <w:rsid w:val="00140342"/>
    <w:rsid w:val="00140F5D"/>
    <w:rsid w:val="00163DDE"/>
    <w:rsid w:val="001915A4"/>
    <w:rsid w:val="001B13CD"/>
    <w:rsid w:val="001B2488"/>
    <w:rsid w:val="0024530F"/>
    <w:rsid w:val="00271ABB"/>
    <w:rsid w:val="002F40D1"/>
    <w:rsid w:val="00476888"/>
    <w:rsid w:val="00483C10"/>
    <w:rsid w:val="00490377"/>
    <w:rsid w:val="005B119D"/>
    <w:rsid w:val="005F6880"/>
    <w:rsid w:val="00613339"/>
    <w:rsid w:val="00622564"/>
    <w:rsid w:val="006308B1"/>
    <w:rsid w:val="006852AF"/>
    <w:rsid w:val="0069333B"/>
    <w:rsid w:val="006A2B60"/>
    <w:rsid w:val="006C6D13"/>
    <w:rsid w:val="006C70D1"/>
    <w:rsid w:val="006F5760"/>
    <w:rsid w:val="007102C6"/>
    <w:rsid w:val="0074688C"/>
    <w:rsid w:val="00750DB2"/>
    <w:rsid w:val="007B60E9"/>
    <w:rsid w:val="007C398F"/>
    <w:rsid w:val="007F7121"/>
    <w:rsid w:val="00813028"/>
    <w:rsid w:val="00897931"/>
    <w:rsid w:val="00912D36"/>
    <w:rsid w:val="00914084"/>
    <w:rsid w:val="009476F9"/>
    <w:rsid w:val="00964481"/>
    <w:rsid w:val="009E79AC"/>
    <w:rsid w:val="00A2007B"/>
    <w:rsid w:val="00A20A13"/>
    <w:rsid w:val="00A55606"/>
    <w:rsid w:val="00A7609D"/>
    <w:rsid w:val="00AC74A9"/>
    <w:rsid w:val="00AE2A5A"/>
    <w:rsid w:val="00B352A0"/>
    <w:rsid w:val="00BD0204"/>
    <w:rsid w:val="00BF4E0D"/>
    <w:rsid w:val="00C05E0D"/>
    <w:rsid w:val="00C8734B"/>
    <w:rsid w:val="00C94436"/>
    <w:rsid w:val="00CB6198"/>
    <w:rsid w:val="00D016B7"/>
    <w:rsid w:val="00D20047"/>
    <w:rsid w:val="00D46EB2"/>
    <w:rsid w:val="00D777F9"/>
    <w:rsid w:val="00DC746F"/>
    <w:rsid w:val="00E57463"/>
    <w:rsid w:val="00E62688"/>
    <w:rsid w:val="00F01221"/>
    <w:rsid w:val="00F65F2B"/>
    <w:rsid w:val="00FC28D0"/>
    <w:rsid w:val="00FD0C41"/>
    <w:rsid w:val="1FAB556E"/>
    <w:rsid w:val="62566C94"/>
    <w:rsid w:val="730D06A7"/>
    <w:rsid w:val="77982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6</Pages>
  <Words>404</Words>
  <Characters>2303</Characters>
  <Lines>19</Lines>
  <Paragraphs>5</Paragraphs>
  <TotalTime>0</TotalTime>
  <ScaleCrop>false</ScaleCrop>
  <LinksUpToDate>false</LinksUpToDate>
  <CharactersWithSpaces>2702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2020-08-11T07:23:00Z</dcterms:created>
  <dc:creator>woc</dc:creator>
  <cp:lastModifiedBy>Administrator</cp:lastModifiedBy>
  <cp:lastPrinted>2019-07-09T03:45:00Z</cp:lastPrinted>
  <dcterms:modified xsi:type="dcterms:W3CDTF">2021-10-09T01:13:50Z</dcterms:modified>
  <dc:title>广东工业大学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