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五邑大学20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年硕士研究生招生考试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《信号与系统》考试大纲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30"/>
        </w:rPr>
      </w:pPr>
      <w:r>
        <w:rPr>
          <w:rFonts w:hint="eastAsia"/>
          <w:sz w:val="30"/>
        </w:rPr>
        <w:t>基本要求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掌握信号与系统的基本概念、基本分析方法，包括信号与系统的基本概念、连续时间系统的时域分析、傅立叶分析、S域分析、以及状态变量分析方法。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30"/>
        </w:rPr>
      </w:pPr>
      <w:r>
        <w:rPr>
          <w:rFonts w:hint="eastAsia"/>
          <w:sz w:val="30"/>
        </w:rPr>
        <w:t>考试范围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第1章 绪论：信号与系统，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1.1 信号的描述及其分类（A）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1.2 奇异信号（A）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1.3 信号的分解（B）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1.4 系统模型及其划分（A）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1.5 线性时不变系统（A）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1.6 系统分析方法（C）</w:t>
      </w:r>
    </w:p>
    <w:p>
      <w:pPr>
        <w:tabs>
          <w:tab w:val="left" w:pos="1134"/>
        </w:tabs>
        <w:ind w:left="567"/>
        <w:rPr>
          <w:rFonts w:hint="eastAsia"/>
        </w:rPr>
      </w:pP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第2章 连续时间系统的时域分析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2.1 微分方程的建立与求解（A）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2.2 起始点的跳变（C）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2.3 零输入响应与零状态响应（A）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2.4 冲激响应与阶跃响应（A）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2.5 卷积（A）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2.6 卷积的性质（A）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第3章 傅立叶变换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3.1 周期信号的频谱分析－傅立叶级数（B）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3.2 典型周期信号的频谱（B）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3.3 非周期信号的频谱分析－傅立叶变换（A）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3.4 典型非周期信号的频谱（A）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3.5 傅立叶变换的基本性质（A）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3.6 周期信号的傅立叶变换（B）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3.7 抽样信号的傅立叶变换（B）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3.8 抽样定理（A）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3.9 连续时间</w:t>
      </w:r>
      <w:r>
        <w:t>LTI</w:t>
      </w:r>
      <w:r>
        <w:rPr>
          <w:rFonts w:hint="eastAsia"/>
        </w:rPr>
        <w:t>系统的频率响应与频域分析（A）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3.10调制与频分复用（C）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第4章 拉普拉斯变换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4.1 拉普拉斯变换的定义（A）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4.2 常用函数的拉氏变换（A）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4.3 拉氏变换的基本性质（A）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4.4 拉普拉斯逆变换（A）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4.5 连续时间</w:t>
      </w:r>
      <w:r>
        <w:t>LTI</w:t>
      </w:r>
      <w:r>
        <w:rPr>
          <w:rFonts w:hint="eastAsia"/>
        </w:rPr>
        <w:t>系统的复频域分析（A）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4.6 连续时间</w:t>
      </w:r>
      <w:r>
        <w:t>LTI</w:t>
      </w:r>
      <w:r>
        <w:rPr>
          <w:rFonts w:hint="eastAsia"/>
        </w:rPr>
        <w:t>系统的系统函数（A）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4.7 系统方框图和信号流图（A）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4.8 连续时间</w:t>
      </w:r>
      <w:r>
        <w:t>LTI</w:t>
      </w:r>
      <w:r>
        <w:rPr>
          <w:rFonts w:hint="eastAsia"/>
        </w:rPr>
        <w:t>系统的稳定性（A）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4.9 拉普拉斯变换与傅里叶变换的关系（C）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第5章 系统的状态变量分析法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5.1 连续LTI系统状态方程的建立（A）</w:t>
      </w:r>
    </w:p>
    <w:p>
      <w:pPr>
        <w:tabs>
          <w:tab w:val="left" w:pos="5670"/>
        </w:tabs>
        <w:ind w:left="1799" w:leftChars="453" w:hanging="848" w:hangingChars="404"/>
        <w:rPr>
          <w:rFonts w:hint="eastAsia"/>
        </w:rPr>
      </w:pPr>
      <w:r>
        <w:rPr>
          <w:rFonts w:hint="eastAsia"/>
        </w:rPr>
        <w:t>5.2 连续LTI系统状态方程的求解（A）</w:t>
      </w:r>
    </w:p>
    <w:p>
      <w:pPr>
        <w:tabs>
          <w:tab w:val="left" w:pos="1134"/>
        </w:tabs>
        <w:ind w:left="567"/>
        <w:rPr>
          <w:rFonts w:hint="eastAsia"/>
        </w:rPr>
      </w:pPr>
    </w:p>
    <w:p>
      <w:pPr>
        <w:spacing w:line="400" w:lineRule="exact"/>
        <w:rPr>
          <w:rFonts w:hint="eastAsia" w:ascii="楷体_GB2312" w:hAnsi="宋体" w:eastAsia="楷体_GB2312" w:cs="宋体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Cs w:val="21"/>
        </w:rPr>
        <w:t>（上述内容中，A的内容是重点，要求学生掌握；B的内容要求学生熟悉；C的内容要求学生了解。）</w:t>
      </w:r>
    </w:p>
    <w:p>
      <w:pPr>
        <w:tabs>
          <w:tab w:val="left" w:pos="1134"/>
        </w:tabs>
        <w:ind w:left="567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30"/>
        </w:rPr>
      </w:pPr>
      <w:r>
        <w:rPr>
          <w:rFonts w:hint="eastAsia"/>
          <w:sz w:val="30"/>
        </w:rPr>
        <w:t>参考书目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1. 甘俊英等编，信号与系统</w:t>
      </w:r>
      <w:r>
        <w:t xml:space="preserve"> [M]. </w:t>
      </w:r>
      <w:r>
        <w:rPr>
          <w:rFonts w:hint="eastAsia"/>
        </w:rPr>
        <w:t>北京：清华大学出版社，</w:t>
      </w:r>
      <w:r>
        <w:t>20</w:t>
      </w:r>
      <w:r>
        <w:rPr>
          <w:rFonts w:hint="eastAsia"/>
        </w:rPr>
        <w:t>11</w:t>
      </w:r>
      <w:r>
        <w:t>.0</w:t>
      </w:r>
      <w:r>
        <w:rPr>
          <w:rFonts w:hint="eastAsia"/>
        </w:rPr>
        <w:t>2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2. 应自炉编，信号与系统，国防工业出版社出版，2008.02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3. 甘俊英等编，信号与系统学习指导和习题解析</w:t>
      </w:r>
      <w:r>
        <w:t xml:space="preserve">[M]. </w:t>
      </w:r>
      <w:r>
        <w:rPr>
          <w:rFonts w:hint="eastAsia"/>
        </w:rPr>
        <w:t>北京：清华大学出版社，</w:t>
      </w:r>
      <w:r>
        <w:t>2007.08</w:t>
      </w:r>
    </w:p>
    <w:p>
      <w:pPr>
        <w:tabs>
          <w:tab w:val="left" w:pos="5670"/>
        </w:tabs>
        <w:ind w:left="1274" w:leftChars="203" w:hanging="848" w:hangingChars="404"/>
        <w:rPr>
          <w:rFonts w:hint="eastAsia"/>
        </w:rPr>
      </w:pPr>
      <w:r>
        <w:rPr>
          <w:rFonts w:hint="eastAsia"/>
        </w:rPr>
        <w:t>4. 甘俊英等编，基于</w:t>
      </w:r>
      <w:r>
        <w:t>MATLAB</w:t>
      </w:r>
      <w:r>
        <w:rPr>
          <w:rFonts w:hint="eastAsia"/>
        </w:rPr>
        <w:t>的信号与系统实验指导</w:t>
      </w:r>
      <w:r>
        <w:t xml:space="preserve">[M]. </w:t>
      </w:r>
      <w:r>
        <w:rPr>
          <w:rFonts w:hint="eastAsia"/>
        </w:rPr>
        <w:t>北京：清华大学出版社，</w:t>
      </w:r>
      <w:r>
        <w:t>2007.08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6B46"/>
    <w:multiLevelType w:val="singleLevel"/>
    <w:tmpl w:val="69E36B46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0540A"/>
    <w:rsid w:val="004E6BC0"/>
    <w:rsid w:val="006F14C7"/>
    <w:rsid w:val="007A776F"/>
    <w:rsid w:val="0081107C"/>
    <w:rsid w:val="009D40FC"/>
    <w:rsid w:val="00AA0C4A"/>
    <w:rsid w:val="00AA310C"/>
    <w:rsid w:val="00B823AA"/>
    <w:rsid w:val="00CE716F"/>
    <w:rsid w:val="00E34473"/>
    <w:rsid w:val="04A60499"/>
    <w:rsid w:val="04CF3F18"/>
    <w:rsid w:val="2B2874A0"/>
    <w:rsid w:val="3A0B3E39"/>
    <w:rsid w:val="46DB51A3"/>
    <w:rsid w:val="55953CEA"/>
    <w:rsid w:val="57C801ED"/>
    <w:rsid w:val="64007237"/>
    <w:rsid w:val="6E795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  <w:lang w:bidi="he-IL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147</Words>
  <Characters>842</Characters>
  <Lines>7</Lines>
  <Paragraphs>1</Paragraphs>
  <TotalTime>0</TotalTime>
  <ScaleCrop>false</ScaleCrop>
  <LinksUpToDate>false</LinksUpToDate>
  <CharactersWithSpaces>988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2011-08-27T03:56:00Z</dcterms:created>
  <dc:creator>kerson</dc:creator>
  <cp:lastModifiedBy>Administrator</cp:lastModifiedBy>
  <cp:lastPrinted>2011-08-27T03:56:00Z</cp:lastPrinted>
  <dcterms:modified xsi:type="dcterms:W3CDTF">2021-10-09T08:12:19Z</dcterms:modified>
  <dc:title>五邑大学2010年硕士学位研究生招生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AE82EF01E1E34989B6422B24DAE66C23</vt:lpwstr>
  </property>
</Properties>
</file>