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beforeAutospacing="0" w:after="330" w:afterAutospacing="0"/>
        <w:jc w:val="center"/>
        <w:rPr>
          <w:rFonts w:hint="eastAsia" w:ascii="黑体" w:hAnsi="MS Shell Dlg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/>
          <w:sz w:val="28"/>
          <w:szCs w:val="28"/>
        </w:rPr>
        <w:t>613《造园史》考试大纲</w:t>
      </w: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一、考试的基本要求</w:t>
      </w:r>
    </w:p>
    <w:p>
      <w:pPr>
        <w:spacing w:line="300" w:lineRule="auto"/>
        <w:ind w:firstLine="465"/>
        <w:rPr>
          <w:rFonts w:hint="eastAsia" w:eastAsia="黑体"/>
          <w:sz w:val="24"/>
        </w:rPr>
      </w:pPr>
      <w:r>
        <w:rPr>
          <w:rFonts w:hint="eastAsia"/>
          <w:sz w:val="24"/>
        </w:rPr>
        <w:t>1、要求学生比较系统地掌握中外造园历史发展的演变过程和基本史实；</w:t>
      </w:r>
    </w:p>
    <w:p>
      <w:pPr>
        <w:spacing w:line="300" w:lineRule="auto"/>
        <w:ind w:firstLine="465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2、</w:t>
      </w:r>
      <w:r>
        <w:rPr>
          <w:rFonts w:hint="eastAsia"/>
          <w:sz w:val="24"/>
        </w:rPr>
        <w:t>熟悉不同国家和地区风景园林的发展的类型、特征及优秀案例；</w:t>
      </w:r>
    </w:p>
    <w:p>
      <w:pPr>
        <w:spacing w:line="300" w:lineRule="auto"/>
        <w:ind w:firstLine="465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3、</w:t>
      </w:r>
      <w:r>
        <w:rPr>
          <w:rFonts w:hint="eastAsia"/>
          <w:sz w:val="24"/>
        </w:rPr>
        <w:t>了解风景园林发展的影响因素和发展脉络；具有综合分析、比较、论证风景园林设计理论及案例的基本能力；</w:t>
      </w:r>
    </w:p>
    <w:p>
      <w:pPr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4、掌握风景园林设计的基本理论、方法和技能。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150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spacing w:line="30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[1] 童寯. 造园史纲[M]. 北京：中国建筑工业出版社，</w:t>
      </w:r>
      <w:r>
        <w:rPr>
          <w:color w:val="000000"/>
          <w:sz w:val="24"/>
        </w:rPr>
        <w:t>1983</w:t>
      </w:r>
    </w:p>
    <w:p>
      <w:pPr>
        <w:spacing w:line="30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>[2] 周维权. 中国古典园林史 [M]. 第二版. 北京：清华大学出版社，1999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[3] </w:t>
      </w:r>
      <w:r>
        <w:rPr>
          <w:color w:val="000000"/>
          <w:sz w:val="24"/>
        </w:rPr>
        <w:t>（日）针之谷钟吉</w:t>
      </w:r>
      <w:r>
        <w:rPr>
          <w:rFonts w:hint="eastAsia"/>
          <w:color w:val="000000"/>
          <w:sz w:val="24"/>
        </w:rPr>
        <w:t xml:space="preserve">. </w:t>
      </w:r>
      <w:r>
        <w:rPr>
          <w:color w:val="000000"/>
          <w:sz w:val="24"/>
        </w:rPr>
        <w:t>西方造园变迁史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从伊甸园到天然公园</w:t>
      </w:r>
      <w:r>
        <w:rPr>
          <w:rFonts w:hint="eastAsia"/>
          <w:color w:val="000000"/>
          <w:sz w:val="24"/>
        </w:rPr>
        <w:t>[M]. 北京：中国建筑工业出版社，</w:t>
      </w:r>
      <w:r>
        <w:rPr>
          <w:color w:val="000000"/>
          <w:sz w:val="24"/>
        </w:rPr>
        <w:t>19</w:t>
      </w:r>
      <w:r>
        <w:rPr>
          <w:rFonts w:hint="eastAsia"/>
          <w:color w:val="000000"/>
          <w:sz w:val="24"/>
        </w:rPr>
        <w:t>91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[4] 王向荣，林箐. 西方现代景观设计的理论与实践[M]. 北京：中国建筑工业出版社，2002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[5] </w:t>
      </w:r>
      <w:r>
        <w:rPr>
          <w:color w:val="000000"/>
          <w:sz w:val="24"/>
        </w:rPr>
        <w:t>刘庭风</w:t>
      </w:r>
      <w:r>
        <w:rPr>
          <w:rFonts w:hint="eastAsia"/>
          <w:color w:val="000000"/>
          <w:sz w:val="24"/>
        </w:rPr>
        <w:t xml:space="preserve">. </w:t>
      </w:r>
      <w:r>
        <w:rPr>
          <w:color w:val="000000"/>
          <w:sz w:val="24"/>
        </w:rPr>
        <w:t>日本园林教程</w:t>
      </w:r>
      <w:r>
        <w:rPr>
          <w:rFonts w:hint="eastAsia"/>
          <w:color w:val="000000"/>
          <w:sz w:val="24"/>
        </w:rPr>
        <w:t xml:space="preserve">[M]. </w:t>
      </w:r>
      <w:r>
        <w:rPr>
          <w:color w:val="000000"/>
          <w:sz w:val="24"/>
        </w:rPr>
        <w:t>天津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天津大学出版社</w:t>
      </w:r>
      <w:r>
        <w:rPr>
          <w:rFonts w:hint="eastAsia"/>
          <w:color w:val="000000"/>
          <w:sz w:val="24"/>
        </w:rPr>
        <w:t>，2005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填空题、选择题 、名词解析、</w:t>
      </w:r>
      <w:r>
        <w:rPr>
          <w:rFonts w:hint="eastAsia"/>
          <w:sz w:val="24"/>
        </w:rPr>
        <w:t>绘图说明题（含绘图题）、</w:t>
      </w:r>
      <w:r>
        <w:rPr>
          <w:rFonts w:hint="eastAsia" w:ascii="宋体" w:hAnsi="宋体"/>
          <w:bCs/>
          <w:color w:val="000000"/>
          <w:sz w:val="24"/>
        </w:rPr>
        <w:t>简答题、论述题等类型，并根据每年的考试要求做相应调整。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第一部分 中国古典园林</w:t>
      </w:r>
    </w:p>
    <w:p>
      <w:pPr>
        <w:spacing w:line="300" w:lineRule="auto"/>
        <w:ind w:firstLine="465"/>
        <w:rPr>
          <w:rFonts w:hint="eastAsia" w:eastAsia="黑体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/>
          <w:sz w:val="24"/>
        </w:rPr>
        <w:t>中国古典园林的风格特征；各时期的园林（皇家园林、私家园林和寺观园林等</w:t>
      </w:r>
      <w:r>
        <w:rPr>
          <w:rFonts w:hint="eastAsia" w:ascii="宋体" w:hAnsi="宋体"/>
          <w:b/>
          <w:bCs/>
          <w:color w:val="000000"/>
          <w:sz w:val="24"/>
        </w:rPr>
        <w:t>）</w:t>
      </w:r>
      <w:r>
        <w:rPr>
          <w:rFonts w:hint="eastAsia"/>
          <w:sz w:val="24"/>
        </w:rPr>
        <w:t>发展特点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hint="eastAsia"/>
          <w:sz w:val="24"/>
        </w:rPr>
        <w:t>唐宋明清时期的经典园林实例；文人园林的特点。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/>
          <w:sz w:val="24"/>
        </w:rPr>
        <w:t>中国古典园林发展演变的过程；各时期园林发展的历史文化背景；</w:t>
      </w:r>
      <w:r>
        <w:rPr>
          <w:sz w:val="24"/>
        </w:rPr>
        <w:t xml:space="preserve"> </w:t>
      </w:r>
      <w:r>
        <w:rPr>
          <w:rFonts w:hint="eastAsia"/>
          <w:sz w:val="24"/>
        </w:rPr>
        <w:t>各时期的文化对园林的影响；各时期园林的主要类型。</w:t>
      </w:r>
    </w:p>
    <w:p>
      <w:pPr>
        <w:spacing w:line="360" w:lineRule="auto"/>
        <w:ind w:firstLine="482" w:firstLineChars="200"/>
        <w:jc w:val="center"/>
        <w:rPr>
          <w:rStyle w:val="9"/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第二部分 </w:t>
      </w:r>
      <w:r>
        <w:rPr>
          <w:rStyle w:val="9"/>
          <w:rFonts w:hint="eastAsia" w:ascii="Arial" w:hAnsi="Arial" w:cs="Arial"/>
          <w:color w:val="000000"/>
          <w:sz w:val="24"/>
          <w:szCs w:val="18"/>
        </w:rPr>
        <w:t>欧洲的古代园林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 xml:space="preserve">埃及、两河流域与波斯、古希腊及古罗马园林的类型及各自特征。   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埃及、两河流域与波斯、古希腊及古罗马造园的历史进程；古罗马园林的各种要素。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第三部分 中世纪欧洲和伊斯兰园林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波斯、西班牙和印度伊斯兰园林的风格特征以及各个时期的代表实例，并能绘制简图。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>中世纪西欧的园林类型及各自特征。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第四部分  文艺复兴时期意大利园林</w:t>
      </w:r>
    </w:p>
    <w:p>
      <w:pPr>
        <w:spacing w:line="300" w:lineRule="auto"/>
        <w:ind w:firstLine="465"/>
        <w:rPr>
          <w:rFonts w:hint="eastAsia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/>
          <w:sz w:val="24"/>
        </w:rPr>
        <w:t xml:space="preserve">意大利园林在文艺复兴时期的前、中、后期各自的特征；意大利台地园的风格特征；文艺复兴时期意大利园林的代表性实例，并能绘制简图。 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/>
          <w:sz w:val="24"/>
        </w:rPr>
        <w:t>文艺复兴时期意大利园林对欧洲其他各国园林的影响</w:t>
      </w:r>
      <w:r>
        <w:rPr>
          <w:rFonts w:hint="eastAsia" w:ascii="Arial" w:hAnsi="Arial" w:cs="Arial"/>
          <w:color w:val="000000"/>
          <w:sz w:val="24"/>
          <w:szCs w:val="18"/>
        </w:rPr>
        <w:t>。</w:t>
      </w:r>
    </w:p>
    <w:p>
      <w:pPr>
        <w:spacing w:line="360" w:lineRule="auto"/>
        <w:ind w:firstLine="482" w:firstLineChars="200"/>
        <w:jc w:val="center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第五部分   </w:t>
      </w:r>
      <w:r>
        <w:rPr>
          <w:rStyle w:val="9"/>
          <w:rFonts w:hint="eastAsia" w:ascii="Arial" w:hAnsi="Arial" w:cs="Arial"/>
          <w:color w:val="000000"/>
          <w:sz w:val="24"/>
          <w:szCs w:val="18"/>
        </w:rPr>
        <w:t>法国古典主义园林</w:t>
      </w:r>
    </w:p>
    <w:p>
      <w:pPr>
        <w:spacing w:line="300" w:lineRule="auto"/>
        <w:ind w:firstLine="482" w:firstLineChars="200"/>
        <w:rPr>
          <w:rFonts w:hint="eastAsia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/>
          <w:sz w:val="24"/>
        </w:rPr>
        <w:t>勒·诺特式园林的特征；代表性园林实例，并能绘制简图；凡尔赛宫苑的设计和布局。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/>
          <w:sz w:val="24"/>
        </w:rPr>
        <w:t>勒·诺特式园林在欧洲其他国家的实例与园林特色</w:t>
      </w:r>
      <w:r>
        <w:rPr>
          <w:rFonts w:hint="eastAsia" w:ascii="Arial" w:hAnsi="Arial" w:cs="Arial"/>
          <w:color w:val="000000"/>
          <w:sz w:val="24"/>
          <w:szCs w:val="18"/>
        </w:rPr>
        <w:t>。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第六部分   英国自然风景园林</w:t>
      </w:r>
    </w:p>
    <w:p>
      <w:pPr>
        <w:spacing w:line="360" w:lineRule="auto"/>
        <w:ind w:firstLine="482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/>
          <w:sz w:val="24"/>
        </w:rPr>
        <w:t>英国自然风景园林的特征；英国自然风景园林代表性实例；影响英国自然风景园林形成的代表性人物。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</w:t>
      </w:r>
      <w:r>
        <w:rPr>
          <w:rFonts w:hint="eastAsia" w:ascii="宋体" w:hAnsi="宋体"/>
          <w:bCs/>
          <w:color w:val="000000"/>
          <w:sz w:val="24"/>
        </w:rPr>
        <w:t>：</w:t>
      </w:r>
      <w:r>
        <w:rPr>
          <w:rFonts w:hint="eastAsia"/>
          <w:sz w:val="24"/>
        </w:rPr>
        <w:t>英国自然风景园林产生的文化与时代背景；英国自然风景园林对欧洲其他各国的影响</w:t>
      </w:r>
      <w:r>
        <w:rPr>
          <w:rFonts w:hint="eastAsia" w:ascii="Arial" w:hAnsi="Arial" w:cs="Arial"/>
          <w:color w:val="000000"/>
          <w:sz w:val="24"/>
          <w:szCs w:val="18"/>
        </w:rPr>
        <w:t>。</w:t>
      </w:r>
    </w:p>
    <w:p>
      <w:pPr>
        <w:spacing w:line="360" w:lineRule="auto"/>
        <w:ind w:firstLine="482" w:firstLineChars="200"/>
        <w:jc w:val="center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第七部分 </w:t>
      </w:r>
      <w:r>
        <w:rPr>
          <w:rStyle w:val="9"/>
          <w:rFonts w:hint="eastAsia" w:ascii="Arial" w:hAnsi="Arial" w:cs="Arial"/>
          <w:color w:val="000000"/>
          <w:sz w:val="24"/>
          <w:szCs w:val="18"/>
        </w:rPr>
        <w:t>日本古典园林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日本园林不同历史时期的风格特征，特别是寝殿式庭院、枯山水庭院和茶庭的风格特征；日本园林的代表性实例。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/>
          <w:sz w:val="24"/>
        </w:rPr>
        <w:t>日本古典园林发展的历史沿革</w:t>
      </w:r>
      <w:r>
        <w:rPr>
          <w:rFonts w:hint="eastAsia" w:ascii="Arial" w:hAnsi="Arial" w:cs="Arial"/>
          <w:color w:val="000000"/>
          <w:sz w:val="24"/>
          <w:szCs w:val="18"/>
        </w:rPr>
        <w:t>。</w:t>
      </w:r>
    </w:p>
    <w:p>
      <w:pPr>
        <w:spacing w:line="360" w:lineRule="auto"/>
        <w:ind w:firstLine="482" w:firstLineChars="200"/>
        <w:jc w:val="center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  第八部分 </w:t>
      </w:r>
      <w:r>
        <w:rPr>
          <w:rStyle w:val="9"/>
          <w:rFonts w:hint="eastAsia" w:ascii="Arial" w:hAnsi="Arial" w:cs="Arial"/>
          <w:color w:val="000000"/>
          <w:sz w:val="24"/>
          <w:szCs w:val="18"/>
        </w:rPr>
        <w:t>欧美近现代园林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城市公园运动；现代园林规划设计的理论与实践；欧美现代园林的发展趋势。</w:t>
      </w:r>
    </w:p>
    <w:p>
      <w:pPr>
        <w:spacing w:line="360" w:lineRule="auto"/>
        <w:ind w:firstLine="482" w:firstLineChars="200"/>
        <w:rPr>
          <w:rFonts w:hint="eastAsia"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 w:ascii="Arial" w:hAnsi="Arial" w:cs="Arial"/>
          <w:color w:val="000000"/>
          <w:sz w:val="24"/>
          <w:szCs w:val="18"/>
        </w:rPr>
        <w:t xml:space="preserve">欧美近现代园林发展的历史进程。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Shell Dlg">
    <w:altName w:val="Microsoft Sans Serif"/>
    <w:panose1 w:val="020B0604020202020204"/>
    <w:charset w:val="00"/>
    <w:family w:val="swiss"/>
    <w:pitch w:val="default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9"/>
    <w:rsid w:val="00025B68"/>
    <w:rsid w:val="0005516C"/>
    <w:rsid w:val="000740BA"/>
    <w:rsid w:val="000D7040"/>
    <w:rsid w:val="0013002E"/>
    <w:rsid w:val="00131EE3"/>
    <w:rsid w:val="00143DDE"/>
    <w:rsid w:val="00166CF6"/>
    <w:rsid w:val="00202567"/>
    <w:rsid w:val="00212BC3"/>
    <w:rsid w:val="00222228"/>
    <w:rsid w:val="002309B9"/>
    <w:rsid w:val="00234328"/>
    <w:rsid w:val="002363B0"/>
    <w:rsid w:val="00242C5F"/>
    <w:rsid w:val="0026092D"/>
    <w:rsid w:val="002758F9"/>
    <w:rsid w:val="002E75E7"/>
    <w:rsid w:val="00305664"/>
    <w:rsid w:val="00313966"/>
    <w:rsid w:val="0032136B"/>
    <w:rsid w:val="003349B2"/>
    <w:rsid w:val="00337B8D"/>
    <w:rsid w:val="00374FC8"/>
    <w:rsid w:val="00380D7B"/>
    <w:rsid w:val="00383E6B"/>
    <w:rsid w:val="004066B9"/>
    <w:rsid w:val="00413BB5"/>
    <w:rsid w:val="00423493"/>
    <w:rsid w:val="00470AED"/>
    <w:rsid w:val="004D704C"/>
    <w:rsid w:val="00525598"/>
    <w:rsid w:val="0054497E"/>
    <w:rsid w:val="00632B31"/>
    <w:rsid w:val="006A29F0"/>
    <w:rsid w:val="006B5A67"/>
    <w:rsid w:val="006E648A"/>
    <w:rsid w:val="006F27CF"/>
    <w:rsid w:val="00772668"/>
    <w:rsid w:val="007A7509"/>
    <w:rsid w:val="007D2FC4"/>
    <w:rsid w:val="008D0EE2"/>
    <w:rsid w:val="008E564D"/>
    <w:rsid w:val="009C79DF"/>
    <w:rsid w:val="009E5D33"/>
    <w:rsid w:val="00A254AD"/>
    <w:rsid w:val="00A45102"/>
    <w:rsid w:val="00A87B22"/>
    <w:rsid w:val="00AC2628"/>
    <w:rsid w:val="00AC5746"/>
    <w:rsid w:val="00AD5640"/>
    <w:rsid w:val="00B847F7"/>
    <w:rsid w:val="00BB0B1B"/>
    <w:rsid w:val="00C25A4B"/>
    <w:rsid w:val="00C312D4"/>
    <w:rsid w:val="00C6685B"/>
    <w:rsid w:val="00C7617B"/>
    <w:rsid w:val="00D942DB"/>
    <w:rsid w:val="00DA46BB"/>
    <w:rsid w:val="00DC0BCA"/>
    <w:rsid w:val="00E871BB"/>
    <w:rsid w:val="00E9737A"/>
    <w:rsid w:val="00EA3335"/>
    <w:rsid w:val="00EF355F"/>
    <w:rsid w:val="00F10ECD"/>
    <w:rsid w:val="00F51B69"/>
    <w:rsid w:val="00F93FF1"/>
    <w:rsid w:val="2DC559A6"/>
    <w:rsid w:val="3E516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1"/>
    <w:qFormat/>
    <w:uiPriority w:val="0"/>
    <w:pPr>
      <w:widowControl/>
      <w:snapToGrid w:val="0"/>
      <w:spacing w:line="288" w:lineRule="auto"/>
      <w:ind w:firstLine="211" w:firstLineChars="100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Emphasis"/>
    <w:qFormat/>
    <w:uiPriority w:val="20"/>
    <w:rPr>
      <w:i/>
      <w:iCs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HKZJZ</Company>
  <Pages>2</Pages>
  <Words>189</Words>
  <Characters>1078</Characters>
  <Lines>8</Lines>
  <Paragraphs>2</Paragraphs>
  <TotalTime>0</TotalTime>
  <ScaleCrop>false</ScaleCrop>
  <LinksUpToDate>false</LinksUpToDate>
  <CharactersWithSpaces>1265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2015-10-29T06:26:00Z</dcterms:created>
  <dc:creator>Common</dc:creator>
  <cp:lastModifiedBy>Administrator</cp:lastModifiedBy>
  <dcterms:modified xsi:type="dcterms:W3CDTF">2021-10-11T03:58:26Z</dcterms:modified>
  <dc:title>083201食品科学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