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0" w:beforeAutospacing="0" w:after="330" w:afterAutospacing="0"/>
        <w:jc w:val="center"/>
        <w:rPr>
          <w:rFonts w:hint="eastAsia" w:ascii="黑体" w:hAnsi="MS Shell Dlg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Times New Roman" w:eastAsia="黑体"/>
          <w:sz w:val="28"/>
          <w:szCs w:val="28"/>
        </w:rPr>
        <w:t>840《安全工程学》复习大纲</w:t>
      </w:r>
    </w:p>
    <w:p>
      <w:pPr>
        <w:spacing w:line="360" w:lineRule="auto"/>
        <w:ind w:firstLine="472" w:firstLineChars="196"/>
        <w:rPr>
          <w:rFonts w:ascii="Arial Unicode MS" w:hAnsi="Arial Unicode MS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一、考试的基本要求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要求学生系统深入地掌握燃烧与爆炸基础理论，把握本专业领域的最新成果和研究动向，使学生获得必需的专业技能锻炼，使有关的专业技术知识得以充实与提高。掌握燃烧条件、燃烧机理、物质的燃烧等基础知识；掌握预混气体的着火理论；掌握不同的爆炸形式及其特征和影响因素；掌握火灾爆炸的预防及控制技术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二、考试方式和考试时间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闭卷考试，总分</w:t>
      </w:r>
      <w:r>
        <w:rPr>
          <w:rFonts w:ascii="宋体" w:hAnsi="宋体"/>
          <w:color w:val="000000"/>
          <w:sz w:val="24"/>
        </w:rPr>
        <w:t>150</w:t>
      </w:r>
      <w:r>
        <w:rPr>
          <w:rFonts w:hint="eastAsia" w:ascii="宋体" w:hAnsi="宋体"/>
          <w:color w:val="000000"/>
          <w:sz w:val="24"/>
        </w:rPr>
        <w:t>，考试时间为</w:t>
      </w: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小时。</w:t>
      </w:r>
    </w:p>
    <w:p>
      <w:pPr>
        <w:spacing w:line="360" w:lineRule="auto"/>
        <w:ind w:firstLine="482" w:firstLineChars="20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三、参考书目（仅供参考）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《燃烧爆炸理论及应用》，潘旭海编，化学工业出版社，2015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《化工过程安全理论及应用》，蒋军成、潘旭海译，化学工业出版社，2006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四、试题类型：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主要</w:t>
      </w:r>
      <w:r>
        <w:rPr>
          <w:rFonts w:hint="eastAsia" w:ascii="宋体" w:hAnsi="宋体"/>
          <w:color w:val="000000"/>
          <w:sz w:val="24"/>
        </w:rPr>
        <w:t>包括</w:t>
      </w:r>
      <w:r>
        <w:rPr>
          <w:rFonts w:hint="eastAsia" w:ascii="宋体" w:hAnsi="宋体"/>
          <w:bCs/>
          <w:color w:val="000000"/>
          <w:sz w:val="24"/>
        </w:rPr>
        <w:t>填空题、选择题、名词解析、简答题、计算题、分析论述题、作图题等类型，并根据每年的考试要求做相应调整。</w:t>
      </w:r>
    </w:p>
    <w:p>
      <w:pPr>
        <w:ind w:firstLine="482" w:firstLineChars="200"/>
        <w:rPr>
          <w:rFonts w:ascii="Arial Unicode MS" w:hAnsi="Arial Unicode MS" w:eastAsia="Arial Unicode MS" w:cs="Arial Unicode MS"/>
          <w:color w:val="000000"/>
          <w:sz w:val="28"/>
          <w:szCs w:val="20"/>
        </w:rPr>
      </w:pPr>
      <w:r>
        <w:rPr>
          <w:rFonts w:hint="eastAsia" w:ascii="宋体" w:hAnsi="宋体"/>
          <w:b/>
          <w:bCs/>
          <w:color w:val="000000"/>
          <w:sz w:val="24"/>
        </w:rPr>
        <w:t>五、考试内容及要求</w:t>
      </w:r>
    </w:p>
    <w:p>
      <w:pPr>
        <w:rPr>
          <w:rFonts w:ascii="Arial Unicode MS" w:hAnsi="Arial Unicode MS" w:eastAsia="黑体" w:cs="Arial Unicode MS"/>
          <w:color w:val="000000"/>
          <w:sz w:val="24"/>
          <w:szCs w:val="20"/>
        </w:rPr>
      </w:pPr>
      <w:r>
        <w:rPr>
          <w:rFonts w:eastAsia="黑体"/>
          <w:szCs w:val="20"/>
        </w:rPr>
        <w:t> 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第一部分</w:t>
      </w:r>
      <w:r>
        <w:rPr>
          <w:rFonts w:ascii="宋体" w:hAnsi="宋体"/>
          <w:b/>
          <w:bCs/>
          <w:color w:val="000000"/>
          <w:sz w:val="24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</w:rPr>
        <w:t>燃烧及灾害</w:t>
      </w:r>
    </w:p>
    <w:p>
      <w:pPr>
        <w:pStyle w:val="12"/>
        <w:spacing w:line="360" w:lineRule="auto"/>
        <w:ind w:firstLine="482"/>
      </w:pPr>
      <w:r>
        <w:rPr>
          <w:rFonts w:hint="eastAsia" w:ascii="宋体" w:hAnsi="宋体"/>
          <w:bCs/>
          <w:color w:val="000000"/>
          <w:sz w:val="24"/>
        </w:rPr>
        <w:t>掌握：</w:t>
      </w:r>
      <w:r>
        <w:rPr>
          <w:rFonts w:hint="eastAsia" w:ascii="宋体" w:hAnsi="宋体"/>
          <w:b w:val="0"/>
          <w:bCs/>
          <w:color w:val="000000"/>
          <w:sz w:val="24"/>
        </w:rPr>
        <w:t>燃烧的概念、爆炸的概念；燃烧与爆炸之间的区别；爆炸的分类；燃烧三角形及燃烧四面体；防火、灭火方法；物质的燃烧过程及燃烧形式；闪点的概念及测量；闪点的估算；自燃的分类及发生条件；自燃点的测定；燃烧机理；链锁反应理论；燃烧极限的影响因素；燃烧极限的估算方法；池火灾及喷射火灾的概念。</w:t>
      </w:r>
    </w:p>
    <w:p>
      <w:pPr>
        <w:spacing w:line="360" w:lineRule="auto"/>
        <w:ind w:firstLine="482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熟悉：</w:t>
      </w:r>
      <w:r>
        <w:rPr>
          <w:rFonts w:hint="eastAsia" w:ascii="宋体" w:hAnsi="宋体"/>
          <w:bCs/>
          <w:color w:val="000000"/>
          <w:sz w:val="24"/>
        </w:rPr>
        <w:t>燃烧三角形、燃烧四面体、防灭火方法；燃烧诱导期；预混燃烧及扩散燃烧的特点；影响闪点测量的因素；链锁反应理论；燃烧极限的估算及混合气体燃烧极限的估算；池火灾的发展过程及火焰在液池表面的蔓延过程；池火灾的危害及防护；喷射火灾的主要特点、危害及防护。</w:t>
      </w:r>
    </w:p>
    <w:p>
      <w:pPr>
        <w:spacing w:line="360" w:lineRule="auto"/>
        <w:ind w:firstLine="482" w:firstLineChars="200"/>
        <w:jc w:val="center"/>
        <w:rPr>
          <w:rStyle w:val="10"/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第二部分 物质的燃烧</w:t>
      </w:r>
    </w:p>
    <w:p>
      <w:pPr>
        <w:spacing w:line="360" w:lineRule="auto"/>
        <w:ind w:firstLine="482" w:firstLineChars="200"/>
        <w:rPr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掌握：</w:t>
      </w:r>
      <w:r>
        <w:rPr>
          <w:rFonts w:hint="eastAsia" w:ascii="Arial" w:hAnsi="Arial" w:cs="Arial"/>
          <w:color w:val="000000"/>
          <w:sz w:val="24"/>
          <w:szCs w:val="18"/>
        </w:rPr>
        <w:t>火焰的传播机理（热理论、扩散理论）；沸溢及喷溅的发生过程及条件；木材燃烧的过程；阴燃的结构、阴燃的发生条件以及阴燃向有焰燃烧的转变过程。正常火焰传播和爆轰的特点；火焰传播机理；预混气中火焰的传播理论；热波特性；喷溢形成必备的条件。</w:t>
      </w:r>
    </w:p>
    <w:p>
      <w:pPr>
        <w:spacing w:line="360" w:lineRule="auto"/>
        <w:ind w:firstLine="472" w:firstLineChars="196"/>
        <w:rPr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熟悉：</w:t>
      </w:r>
      <w:r>
        <w:rPr>
          <w:rFonts w:hint="eastAsia" w:ascii="Arial" w:hAnsi="Arial" w:cs="Arial"/>
          <w:color w:val="000000"/>
          <w:sz w:val="24"/>
          <w:szCs w:val="18"/>
        </w:rPr>
        <w:t>火灾在预混气中传播的方式；火焰前沿的概念及特点；层流火焰传播速度的数学模型及影响其速度大小的物理化学参数；液体的蒸发过程及液体燃烧速度的表达方式和影响因素；油罐火灾的发生、发展过程及特点；热波的概念；喷溅的预防措施；固体燃烧的分类；固体的热分解过程；阴燃与有焰燃烧和无焰燃烧之间的区别；影响阴燃传播速度的因素。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第三部分 预混气体的着火理论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掌握：</w:t>
      </w:r>
      <w:r>
        <w:rPr>
          <w:rFonts w:hint="eastAsia" w:ascii="Arial" w:hAnsi="Arial" w:cs="Arial"/>
          <w:color w:val="000000"/>
          <w:sz w:val="24"/>
          <w:szCs w:val="18"/>
        </w:rPr>
        <w:t>混合气体发生热自燃的临界环境条件的推导；混合气体发生热自燃的临界环境条件。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熟悉：</w:t>
      </w:r>
      <w:r>
        <w:rPr>
          <w:rFonts w:hint="eastAsia" w:ascii="Arial" w:hAnsi="Arial" w:cs="Arial"/>
          <w:color w:val="000000"/>
          <w:sz w:val="24"/>
          <w:szCs w:val="18"/>
        </w:rPr>
        <w:t>谢苗诺夫热自燃理论的适用范围；着火感应期的概念；“着火半岛”现象；链锁自燃的着火条件及着火感应期的确定；链锁自燃理论解释“着火半岛”现象。</w:t>
      </w:r>
    </w:p>
    <w:p>
      <w:pPr>
        <w:spacing w:line="36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Style w:val="10"/>
          <w:rFonts w:hint="eastAsia" w:ascii="Arial" w:hAnsi="Arial" w:cs="Arial"/>
          <w:color w:val="000000"/>
          <w:sz w:val="24"/>
          <w:szCs w:val="18"/>
        </w:rPr>
        <w:t>第四部分 爆炸及其灾害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掌握：</w:t>
      </w:r>
      <w:r>
        <w:rPr>
          <w:rFonts w:hint="eastAsia" w:ascii="Arial" w:hAnsi="Arial" w:cs="Arial"/>
          <w:color w:val="000000"/>
          <w:sz w:val="24"/>
          <w:szCs w:val="18"/>
        </w:rPr>
        <w:t>爆燃与爆轰的破坏机理；影响BLEVE形成的条件；粉尘的基本概念及分类；粉尘爆炸的条件；粉尘爆炸的机理及影响因素；粉尘爆炸与气体爆炸的区别；爆温和爆压的计算。</w:t>
      </w:r>
    </w:p>
    <w:p>
      <w:pPr>
        <w:spacing w:line="360" w:lineRule="auto"/>
        <w:ind w:firstLine="482" w:firstLineChars="200"/>
        <w:rPr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熟悉：</w:t>
      </w:r>
      <w:r>
        <w:rPr>
          <w:rFonts w:hint="eastAsia" w:ascii="Arial" w:hAnsi="Arial" w:cs="Arial"/>
          <w:color w:val="000000"/>
          <w:sz w:val="24"/>
          <w:szCs w:val="18"/>
        </w:rPr>
        <w:t>爆燃与爆轰及其区别；影响爆轰发生的因素；蒸气云爆炸的成因及特点；沸腾液体扩展蒸气爆炸的概念；BLEVE的典型形成过程；BLEVE的危害及防护。喷雾爆炸的形成；熟悉影响爆炸强度的影响因素；爆炸冲击波的概念及爆炸冲击波超压的计算方法。</w:t>
      </w:r>
    </w:p>
    <w:p>
      <w:pPr>
        <w:spacing w:line="360" w:lineRule="auto"/>
        <w:ind w:firstLine="482" w:firstLineChars="200"/>
        <w:jc w:val="center"/>
        <w:rPr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第五部分 火灾爆炸的预防及控制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掌握：</w:t>
      </w:r>
      <w:r>
        <w:rPr>
          <w:rFonts w:hint="eastAsia" w:ascii="Arial" w:hAnsi="Arial" w:cs="Arial"/>
          <w:color w:val="000000"/>
          <w:sz w:val="24"/>
          <w:szCs w:val="18"/>
        </w:rPr>
        <w:t>静电电压及放电能量的计算；静电的控制措施。惰化循环次数及氮气使用量的计算；可燃性图表的绘制方法；可燃性区域的估算方法；可燃性图表的具体应用；安全液封的安装位置及使用注意事项。</w:t>
      </w:r>
    </w:p>
    <w:p>
      <w:pPr>
        <w:spacing w:line="360" w:lineRule="auto"/>
        <w:ind w:firstLine="482" w:firstLineChars="200"/>
        <w:rPr>
          <w:rFonts w:hint="eastAsia" w:ascii="Arial" w:hAnsi="Arial" w:cs="Arial"/>
          <w:color w:val="000000"/>
          <w:sz w:val="24"/>
          <w:szCs w:val="18"/>
        </w:rPr>
      </w:pPr>
      <w:r>
        <w:rPr>
          <w:rFonts w:hint="eastAsia" w:ascii="宋体" w:hAnsi="宋体"/>
          <w:b/>
          <w:bCs/>
          <w:color w:val="000000"/>
          <w:sz w:val="24"/>
        </w:rPr>
        <w:t>熟悉：</w:t>
      </w:r>
      <w:r>
        <w:rPr>
          <w:rFonts w:hint="eastAsia" w:ascii="Arial" w:hAnsi="Arial" w:cs="Arial"/>
          <w:color w:val="000000"/>
          <w:sz w:val="24"/>
          <w:szCs w:val="18"/>
        </w:rPr>
        <w:t>禁火区动火的基本要求；爆炸性物质的分类；爆炸危险环境的划分；防爆电气的类型；静电的产生及积聚；影响静电积聚的因素；流动电流的概念及计算；静电的危害；惰化的方法；通风的分类及通风系统；阻火装置及泄压装置的具体类型；阻火器的工作原理；安全阀的使用注意事项及防爆片的应用场合；爆炸的防护方法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hell Dlg">
    <w:altName w:val="Microsoft Sans Serif"/>
    <w:panose1 w:val="020B0604020202020204"/>
    <w:charset w:val="00"/>
    <w:family w:val="swiss"/>
    <w:pitch w:val="default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/>
      </w:rPr>
      <w:t>2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EB"/>
    <w:rsid w:val="000737B5"/>
    <w:rsid w:val="000F63B7"/>
    <w:rsid w:val="00114FFD"/>
    <w:rsid w:val="001246DA"/>
    <w:rsid w:val="001552B5"/>
    <w:rsid w:val="001C100F"/>
    <w:rsid w:val="00211776"/>
    <w:rsid w:val="002539F6"/>
    <w:rsid w:val="00276DDF"/>
    <w:rsid w:val="002A4E43"/>
    <w:rsid w:val="002D5C11"/>
    <w:rsid w:val="002E148D"/>
    <w:rsid w:val="00334A13"/>
    <w:rsid w:val="003E0F2B"/>
    <w:rsid w:val="003E7F9B"/>
    <w:rsid w:val="003F5359"/>
    <w:rsid w:val="00412F67"/>
    <w:rsid w:val="00445F4C"/>
    <w:rsid w:val="00454B24"/>
    <w:rsid w:val="00466E43"/>
    <w:rsid w:val="00552830"/>
    <w:rsid w:val="00555875"/>
    <w:rsid w:val="0056515A"/>
    <w:rsid w:val="00592B12"/>
    <w:rsid w:val="005C2182"/>
    <w:rsid w:val="005C3569"/>
    <w:rsid w:val="005E3368"/>
    <w:rsid w:val="00680F72"/>
    <w:rsid w:val="006B071E"/>
    <w:rsid w:val="006B25F7"/>
    <w:rsid w:val="006E5BD8"/>
    <w:rsid w:val="006F5AF5"/>
    <w:rsid w:val="006F5ECC"/>
    <w:rsid w:val="00726802"/>
    <w:rsid w:val="00736474"/>
    <w:rsid w:val="0076060D"/>
    <w:rsid w:val="007736D3"/>
    <w:rsid w:val="007C7F17"/>
    <w:rsid w:val="00833294"/>
    <w:rsid w:val="00837077"/>
    <w:rsid w:val="00862B2C"/>
    <w:rsid w:val="008C438E"/>
    <w:rsid w:val="008D6BCA"/>
    <w:rsid w:val="00941A49"/>
    <w:rsid w:val="00972100"/>
    <w:rsid w:val="00992418"/>
    <w:rsid w:val="009B0A37"/>
    <w:rsid w:val="009C4EE8"/>
    <w:rsid w:val="00AB7F0F"/>
    <w:rsid w:val="00AF417D"/>
    <w:rsid w:val="00B11B79"/>
    <w:rsid w:val="00B54ECE"/>
    <w:rsid w:val="00B6039A"/>
    <w:rsid w:val="00B657B1"/>
    <w:rsid w:val="00B95E98"/>
    <w:rsid w:val="00BD23F5"/>
    <w:rsid w:val="00C616C3"/>
    <w:rsid w:val="00CF4142"/>
    <w:rsid w:val="00D1730A"/>
    <w:rsid w:val="00D42404"/>
    <w:rsid w:val="00D86E39"/>
    <w:rsid w:val="00D9379B"/>
    <w:rsid w:val="00E74BD9"/>
    <w:rsid w:val="00EB719B"/>
    <w:rsid w:val="00EC4FC3"/>
    <w:rsid w:val="00F84AA5"/>
    <w:rsid w:val="00FE4DEB"/>
    <w:rsid w:val="0B163D1D"/>
    <w:rsid w:val="1AF642BB"/>
    <w:rsid w:val="5BAA08A3"/>
    <w:rsid w:val="68DD28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/>
      <w:b/>
      <w:bCs/>
      <w:color w:val="000000"/>
      <w:kern w:val="36"/>
      <w:sz w:val="48"/>
      <w:szCs w:val="48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Body Text Indent"/>
    <w:basedOn w:val="1"/>
    <w:uiPriority w:val="0"/>
    <w:pPr>
      <w:tabs>
        <w:tab w:val="left" w:pos="528"/>
      </w:tabs>
      <w:ind w:left="528" w:hanging="168"/>
    </w:pPr>
    <w:rPr>
      <w:rFonts w:eastAsia="楷体_GB2312"/>
    </w:r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 Char Char Char Char Char Char Char"/>
    <w:basedOn w:val="1"/>
    <w:link w:val="8"/>
    <w:uiPriority w:val="0"/>
    <w:rPr>
      <w:rFonts w:ascii="Tahoma" w:hAnsi="Tahoma"/>
      <w:sz w:val="24"/>
      <w:szCs w:val="20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uiPriority w:val="0"/>
  </w:style>
  <w:style w:type="paragraph" w:customStyle="1" w:styleId="12">
    <w:name w:val="正文加粗"/>
    <w:basedOn w:val="1"/>
    <w:next w:val="3"/>
    <w:uiPriority w:val="0"/>
    <w:pPr>
      <w:spacing w:line="288" w:lineRule="auto"/>
      <w:ind w:firstLine="422" w:firstLineChars="200"/>
    </w:pPr>
    <w:rPr>
      <w:b/>
    </w:rPr>
  </w:style>
  <w:style w:type="character" w:customStyle="1" w:styleId="13">
    <w:name w:val="批注框文本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njut</Company>
  <Pages>3</Pages>
  <Words>226</Words>
  <Characters>1293</Characters>
  <Lines>10</Lines>
  <Paragraphs>3</Paragraphs>
  <TotalTime>0</TotalTime>
  <ScaleCrop>false</ScaleCrop>
  <LinksUpToDate>false</LinksUpToDate>
  <CharactersWithSpaces>1516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2021-07-12T05:47:00Z</dcterms:created>
  <dc:creator>thermal</dc:creator>
  <cp:lastModifiedBy>Administrator</cp:lastModifiedBy>
  <cp:lastPrinted>2021-07-12T05:46:00Z</cp:lastPrinted>
  <dcterms:modified xsi:type="dcterms:W3CDTF">2021-10-11T03:58:58Z</dcterms:modified>
  <dc:title>《化学安全工程学》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033EDDFF8C7D4BC099943AED5C303F5B</vt:lpwstr>
  </property>
</Properties>
</file>