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0" w:beforeAutospacing="0" w:after="330" w:afterAutospacing="0"/>
        <w:jc w:val="center"/>
        <w:rPr>
          <w:rFonts w:hint="eastAsia" w:ascii="黑体" w:hAnsi="MS Shell Dlg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Times New Roman" w:eastAsia="黑体"/>
          <w:sz w:val="28"/>
          <w:szCs w:val="28"/>
        </w:rPr>
        <w:t>840《安全工程学》复习大纲</w:t>
      </w:r>
    </w:p>
    <w:p>
      <w:pPr>
        <w:spacing w:line="360" w:lineRule="auto"/>
        <w:ind w:firstLine="472" w:firstLineChars="196"/>
        <w:rPr>
          <w:rFonts w:ascii="Arial Unicode MS" w:hAnsi="Arial Unicode MS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一、考试的基本要求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要求学生系统深入地掌握燃烧与爆炸基础理论，把握本专业领域的最新成果和研究动向，使学生获得必需的专业技能锻炼，使有关的专业技术知识得以充实与提高。掌握燃烧条件、燃烧机理、物质的燃烧等基础知识；掌握预混气体的着火理论；掌握不同的爆炸形式及其特征和影响因素；掌握火灾爆炸的预防及控制技术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闭卷考试，总分</w:t>
      </w:r>
      <w:r>
        <w:rPr>
          <w:rFonts w:ascii="宋体" w:hAnsi="宋体"/>
          <w:color w:val="000000"/>
          <w:sz w:val="24"/>
        </w:rPr>
        <w:t>150</w:t>
      </w:r>
      <w:r>
        <w:rPr>
          <w:rFonts w:hint="eastAsia" w:ascii="宋体" w:hAnsi="宋体"/>
          <w:color w:val="000000"/>
          <w:sz w:val="24"/>
        </w:rPr>
        <w:t>，考试时间为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小时。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三、参考书目（仅供参考）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《燃烧爆炸理论及应用》，潘旭海编，化学工业出版社，2015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《化工过程安全理论及应用》，蒋军成、潘旭海译，化学工业出版社，2006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主要</w:t>
      </w:r>
      <w:r>
        <w:rPr>
          <w:rFonts w:hint="eastAsia" w:ascii="宋体" w:hAnsi="宋体"/>
          <w:color w:val="000000"/>
          <w:sz w:val="24"/>
        </w:rPr>
        <w:t>包括</w:t>
      </w:r>
      <w:r>
        <w:rPr>
          <w:rFonts w:hint="eastAsia" w:ascii="宋体" w:hAnsi="宋体"/>
          <w:bCs/>
          <w:color w:val="000000"/>
          <w:sz w:val="24"/>
        </w:rPr>
        <w:t>填空题、选择题、名词解析、简答题、计算题、分析论述题、作图题等类型，并根据每年的考试要求做相应调整。</w:t>
      </w:r>
    </w:p>
    <w:p>
      <w:pPr>
        <w:ind w:firstLine="482" w:firstLineChars="200"/>
        <w:rPr>
          <w:rFonts w:ascii="Arial Unicode MS" w:hAnsi="Arial Unicode MS" w:eastAsia="Arial Unicode MS" w:cs="Arial Unicode MS"/>
          <w:color w:val="000000"/>
          <w:sz w:val="28"/>
          <w:szCs w:val="20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rPr>
          <w:rFonts w:ascii="Arial Unicode MS" w:hAnsi="Arial Unicode MS" w:eastAsia="黑体" w:cs="Arial Unicode MS"/>
          <w:color w:val="000000"/>
          <w:sz w:val="24"/>
          <w:szCs w:val="20"/>
        </w:rPr>
      </w:pPr>
      <w:r>
        <w:rPr>
          <w:rFonts w:eastAsia="黑体"/>
          <w:szCs w:val="20"/>
        </w:rPr>
        <w:t> 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第一部分</w:t>
      </w:r>
      <w:r>
        <w:rPr>
          <w:rFonts w:ascii="宋体" w:hAnsi="宋体"/>
          <w:b/>
          <w:bCs/>
          <w:color w:val="000000"/>
          <w:sz w:val="24"/>
        </w:rPr>
        <w:t xml:space="preserve"> </w:t>
      </w:r>
      <w:r>
        <w:rPr>
          <w:rFonts w:hint="eastAsia" w:ascii="宋体" w:hAnsi="宋体"/>
          <w:b/>
          <w:bCs/>
          <w:color w:val="000000"/>
          <w:sz w:val="24"/>
        </w:rPr>
        <w:t>燃烧及灾害</w:t>
      </w:r>
    </w:p>
    <w:p>
      <w:pPr>
        <w:pStyle w:val="12"/>
        <w:spacing w:line="360" w:lineRule="auto"/>
        <w:ind w:firstLine="482"/>
      </w:pPr>
      <w:r>
        <w:rPr>
          <w:rFonts w:hint="eastAsia" w:ascii="宋体" w:hAnsi="宋体"/>
          <w:bCs/>
          <w:color w:val="000000"/>
          <w:sz w:val="24"/>
        </w:rPr>
        <w:t>掌握：</w:t>
      </w:r>
      <w:r>
        <w:rPr>
          <w:rFonts w:hint="eastAsia" w:ascii="宋体" w:hAnsi="宋体"/>
          <w:b w:val="0"/>
          <w:bCs/>
          <w:color w:val="000000"/>
          <w:sz w:val="24"/>
        </w:rPr>
        <w:t>燃烧的概念、爆炸的概念；燃烧与爆炸之间的区别；爆炸的分类；燃烧三角形及燃烧四面体；防火、灭火方法；物质的燃烧过程及燃烧形式；闪点的概念及测量；闪点的估算；自燃的分类及发生条件；自燃点的测定；燃烧机理；链锁反应理论；燃烧极限的影响因素；燃烧极限的估算方法；池火灾及喷射火灾的概念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宋体" w:hAnsi="宋体"/>
          <w:bCs/>
          <w:color w:val="000000"/>
          <w:sz w:val="24"/>
        </w:rPr>
        <w:t>燃烧三角形、燃烧四面体、防灭火方法；燃烧诱导期；预混燃烧及扩散燃烧的特点；影响闪点测量的因素；链锁反应理论；燃烧极限的估算及混合气体燃烧极限的估算；池火灾的发展过程及火焰在液池表面的蔓延过程；池火灾的危害及防护；喷射火灾的主要特点、危害及防护。</w:t>
      </w:r>
    </w:p>
    <w:p>
      <w:pPr>
        <w:spacing w:line="360" w:lineRule="auto"/>
        <w:ind w:firstLine="482" w:firstLineChars="200"/>
        <w:jc w:val="center"/>
        <w:rPr>
          <w:rStyle w:val="10"/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第二部分 物质的燃烧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火焰的传播机理（热理论、扩散理论）；沸溢及喷溅的发生过程及条件；木材燃烧的过程；阴燃的结构、阴燃的发生条件以及阴燃向有焰燃烧的转变过程。正常火焰传播和爆轰的特点；火焰传播机理；预混气中火焰的传播理论；热波特性；喷溢形成必备的条件。</w:t>
      </w:r>
    </w:p>
    <w:p>
      <w:pPr>
        <w:spacing w:line="360" w:lineRule="auto"/>
        <w:ind w:firstLine="472" w:firstLineChars="196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火灾在预混气中传播的方式；火焰前沿的概念及特点；层流火焰传播速度的数学模型及影响其速度大小的物理化学参数；液体的蒸发过程及液体燃烧速度的表达方式和影响因素；油罐火灾的发生、发展过程及特点；热波的概念；喷溅的预防措施；固体燃烧的分类；固体的热分解过程；阴燃与有焰燃烧和无焰燃烧之间的区别；影响阴燃传播速度的因素。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第三部分 预混气体的着火理论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混合气体发生热自燃的临界环境条件的推导；混合气体发生热自燃的临界环境条件。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谢苗诺夫热自燃理论的适用范围；着火感应期的概念；“着火半岛”现象；链锁自燃的着火条件及着火感应期的确定；链锁自燃理论解释“着火半岛”现象。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Style w:val="10"/>
          <w:rFonts w:hint="eastAsia" w:ascii="Arial" w:hAnsi="Arial" w:cs="Arial"/>
          <w:color w:val="000000"/>
          <w:sz w:val="24"/>
          <w:szCs w:val="18"/>
        </w:rPr>
        <w:t>第四部分 爆炸及其灾害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爆燃与爆轰的破坏机理；影响BLEVE形成的条件；粉尘的基本概念及分类；粉尘爆炸的条件；粉尘爆炸的机理及影响因素；粉尘爆炸与气体爆炸的区别；爆温和爆压的计算。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爆燃与爆轰及其区别；影响爆轰发生的因素；蒸气云爆炸的成因及特点；沸腾液体扩展蒸气爆炸的概念；BLEVE的典型形成过程；BLEVE的危害及防护。喷雾爆炸的形成；熟悉影响爆炸强度的影响因素；爆炸冲击波的概念及爆炸冲击波超压的计算方法。</w:t>
      </w:r>
    </w:p>
    <w:p>
      <w:pPr>
        <w:spacing w:line="360" w:lineRule="auto"/>
        <w:ind w:firstLine="482" w:firstLineChars="200"/>
        <w:jc w:val="center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第五部分 火灾爆炸的预防及控制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静电电压及放电能量的计算；静电的控制措施。惰化循环次数及氮气使用量的计算；可燃性图表的绘制方法；可燃性区域的估算方法；可燃性图表的具体应用；安全液封的安装位置及使用注意事项。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禁火区动火的基本要求；爆炸性物质的分类；爆炸危险环境的划分；防爆电气的类型；静电的产生及积聚；影响静电积聚的因素；流动电流的概念及计算；静电的危害；惰化的方法；通风的分类及通风系统；阻火装置及泄压装置的具体类型；阻火器的工作原理；安全阀的使用注意事项及防爆片的应用场合；爆炸的防护方法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Shell Dlg">
    <w:altName w:val="Microsoft Sans Serif"/>
    <w:panose1 w:val="020B0604020202020204"/>
    <w:charset w:val="00"/>
    <w:family w:val="swiss"/>
    <w:pitch w:val="default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lang/>
      </w:rPr>
      <w:t>2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EB"/>
    <w:rsid w:val="000737B5"/>
    <w:rsid w:val="000F63B7"/>
    <w:rsid w:val="00114FFD"/>
    <w:rsid w:val="001246DA"/>
    <w:rsid w:val="001552B5"/>
    <w:rsid w:val="001C100F"/>
    <w:rsid w:val="00211776"/>
    <w:rsid w:val="002539F6"/>
    <w:rsid w:val="00276DDF"/>
    <w:rsid w:val="002A4E43"/>
    <w:rsid w:val="002D5C11"/>
    <w:rsid w:val="002E148D"/>
    <w:rsid w:val="00334A13"/>
    <w:rsid w:val="003E0F2B"/>
    <w:rsid w:val="003E7F9B"/>
    <w:rsid w:val="003F5359"/>
    <w:rsid w:val="00412F67"/>
    <w:rsid w:val="00445F4C"/>
    <w:rsid w:val="00454B24"/>
    <w:rsid w:val="00466E43"/>
    <w:rsid w:val="00552830"/>
    <w:rsid w:val="00555875"/>
    <w:rsid w:val="0056515A"/>
    <w:rsid w:val="00592B12"/>
    <w:rsid w:val="005C2182"/>
    <w:rsid w:val="005C3569"/>
    <w:rsid w:val="005E3368"/>
    <w:rsid w:val="00680F72"/>
    <w:rsid w:val="006B071E"/>
    <w:rsid w:val="006B25F7"/>
    <w:rsid w:val="006E5BD8"/>
    <w:rsid w:val="006F5AF5"/>
    <w:rsid w:val="006F5ECC"/>
    <w:rsid w:val="00726802"/>
    <w:rsid w:val="00736474"/>
    <w:rsid w:val="0076060D"/>
    <w:rsid w:val="007736D3"/>
    <w:rsid w:val="007C7F17"/>
    <w:rsid w:val="00833294"/>
    <w:rsid w:val="00837077"/>
    <w:rsid w:val="00862B2C"/>
    <w:rsid w:val="008C438E"/>
    <w:rsid w:val="008D6BCA"/>
    <w:rsid w:val="00941A49"/>
    <w:rsid w:val="00972100"/>
    <w:rsid w:val="00992418"/>
    <w:rsid w:val="009B0A37"/>
    <w:rsid w:val="009C4EE8"/>
    <w:rsid w:val="00AB7F0F"/>
    <w:rsid w:val="00AF417D"/>
    <w:rsid w:val="00B11B79"/>
    <w:rsid w:val="00B54ECE"/>
    <w:rsid w:val="00B6039A"/>
    <w:rsid w:val="00B657B1"/>
    <w:rsid w:val="00B95E98"/>
    <w:rsid w:val="00BD23F5"/>
    <w:rsid w:val="00C616C3"/>
    <w:rsid w:val="00CF4142"/>
    <w:rsid w:val="00D1730A"/>
    <w:rsid w:val="00D42404"/>
    <w:rsid w:val="00D86E39"/>
    <w:rsid w:val="00D9379B"/>
    <w:rsid w:val="00E74BD9"/>
    <w:rsid w:val="00EB719B"/>
    <w:rsid w:val="00EC4FC3"/>
    <w:rsid w:val="00F84AA5"/>
    <w:rsid w:val="00FE4DEB"/>
    <w:rsid w:val="0B163D1D"/>
    <w:rsid w:val="1AF642BB"/>
    <w:rsid w:val="5BAA08A3"/>
    <w:rsid w:val="68DD2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 w:eastAsia="Arial Unicode MS"/>
      <w:b/>
      <w:bCs/>
      <w:color w:val="000000"/>
      <w:kern w:val="36"/>
      <w:sz w:val="48"/>
      <w:szCs w:val="48"/>
    </w:rPr>
  </w:style>
  <w:style w:type="character" w:default="1" w:styleId="8">
    <w:name w:val="Default Paragraph Font"/>
    <w:link w:val="9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</w:style>
  <w:style w:type="paragraph" w:styleId="4">
    <w:name w:val="Body Text Indent"/>
    <w:basedOn w:val="1"/>
    <w:uiPriority w:val="0"/>
    <w:pPr>
      <w:tabs>
        <w:tab w:val="left" w:pos="528"/>
      </w:tabs>
      <w:ind w:left="528" w:hanging="168"/>
    </w:pPr>
    <w:rPr>
      <w:rFonts w:eastAsia="楷体_GB2312"/>
    </w:r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 Char Char Char Char Char Char Char"/>
    <w:basedOn w:val="1"/>
    <w:link w:val="8"/>
    <w:uiPriority w:val="0"/>
    <w:rPr>
      <w:rFonts w:ascii="Tahoma" w:hAnsi="Tahoma"/>
      <w:sz w:val="24"/>
      <w:szCs w:val="20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uiPriority w:val="0"/>
  </w:style>
  <w:style w:type="paragraph" w:customStyle="1" w:styleId="12">
    <w:name w:val="正文加粗"/>
    <w:basedOn w:val="1"/>
    <w:next w:val="3"/>
    <w:uiPriority w:val="0"/>
    <w:pPr>
      <w:spacing w:line="288" w:lineRule="auto"/>
      <w:ind w:firstLine="422" w:firstLineChars="200"/>
    </w:pPr>
    <w:rPr>
      <w:b/>
    </w:rPr>
  </w:style>
  <w:style w:type="character" w:customStyle="1" w:styleId="13">
    <w:name w:val="批注框文本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njut</Company>
  <Pages>3</Pages>
  <Words>226</Words>
  <Characters>1293</Characters>
  <Lines>10</Lines>
  <Paragraphs>3</Paragraphs>
  <TotalTime>0</TotalTime>
  <ScaleCrop>false</ScaleCrop>
  <LinksUpToDate>false</LinksUpToDate>
  <CharactersWithSpaces>1516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2021-07-12T05:47:00Z</dcterms:created>
  <dc:creator>thermal</dc:creator>
  <cp:lastModifiedBy>Administrator</cp:lastModifiedBy>
  <cp:lastPrinted>2021-07-12T05:46:00Z</cp:lastPrinted>
  <dcterms:modified xsi:type="dcterms:W3CDTF">2021-10-11T03:58:58Z</dcterms:modified>
  <dc:title>《化学安全工程学》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033EDDFF8C7D4BC099943AED5C303F5B</vt:lpwstr>
  </property>
</Properties>
</file>