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pStyle w:val="2"/>
        <w:bidi/>
        <w:spacing w:before="340" w:beforeAutospacing="0" w:after="330" w:afterAutospacing="0"/>
        <w:ind w:left="0" w:right="0"/>
        <w:jc w:val="center"/>
        <w:rPr>
          <w:rFonts w:hint="eastAsia" w:ascii="黑体" w:hAnsi="MS Shell Dlg" w:eastAsia="黑体"/>
          <w:sz w:val="28"/>
          <w:szCs w:val="28"/>
        </w:rPr>
      </w:pPr>
      <w:r>
        <w:rPr>
          <w:rFonts w:hint="eastAsia" w:ascii="黑体" w:hAnsi="Times New Roman" w:eastAsia="黑体"/>
          <w:sz w:val="28"/>
          <w:szCs w:val="28"/>
        </w:rPr>
        <w:t>803《材料科学基础》复习大纲</w:t>
      </w:r>
    </w:p>
    <w:p>
      <w:pPr>
        <w:spacing w:line="360" w:lineRule="auto"/>
        <w:ind w:firstLine="472" w:firstLineChars="196"/>
        <w:rPr>
          <w:rFonts w:ascii="Arial Unicode MS" w:hAnsi="Arial Unicode MS"/>
          <w:b/>
          <w:bCs/>
          <w:color w:val="000000"/>
          <w:sz w:val="24"/>
        </w:rPr>
      </w:pPr>
      <w:r>
        <w:rPr>
          <w:rFonts w:hint="eastAsia"/>
          <w:b/>
          <w:bCs/>
          <w:color w:val="000000"/>
          <w:sz w:val="24"/>
        </w:rPr>
        <w:t>一、考试的基本要求</w:t>
      </w:r>
    </w:p>
    <w:p>
      <w:pPr>
        <w:spacing w:line="360" w:lineRule="auto"/>
        <w:ind w:firstLine="480" w:firstLineChars="200"/>
        <w:rPr>
          <w:rFonts w:hint="eastAsia"/>
          <w:color w:val="000000"/>
          <w:sz w:val="24"/>
        </w:rPr>
      </w:pPr>
      <w:r>
        <w:rPr>
          <w:rFonts w:hint="eastAsia"/>
          <w:color w:val="000000"/>
          <w:sz w:val="24"/>
        </w:rPr>
        <w:t>要求学生比较系统地理解和掌握材料科学基础的基本概念和基本理论，</w:t>
      </w:r>
    </w:p>
    <w:p>
      <w:pPr>
        <w:spacing w:line="360" w:lineRule="auto"/>
        <w:ind w:firstLine="482" w:firstLineChars="200"/>
        <w:rPr>
          <w:rFonts w:hint="eastAsia"/>
          <w:color w:val="000000"/>
          <w:sz w:val="24"/>
        </w:rPr>
      </w:pPr>
      <w:r>
        <w:rPr>
          <w:rFonts w:hint="eastAsia" w:ascii="宋体" w:hAnsi="宋体"/>
          <w:b/>
          <w:bCs/>
          <w:color w:val="000000"/>
          <w:sz w:val="24"/>
        </w:rPr>
        <w:t>无机材料科学基础：</w:t>
      </w:r>
      <w:r>
        <w:rPr>
          <w:rFonts w:hint="eastAsia"/>
          <w:color w:val="000000"/>
          <w:sz w:val="24"/>
        </w:rPr>
        <w:t>掌握晶体结构、结晶化学、晶体结构缺陷的基本概念和基础理论；掌握玻璃体、表面与界面的基本理论与基本概念；熟悉相平衡图的基本概念，掌握相图的应用具备一定的分析和解决实际问题的能力。</w:t>
      </w:r>
    </w:p>
    <w:p>
      <w:pPr>
        <w:spacing w:line="360" w:lineRule="auto"/>
        <w:ind w:firstLine="482" w:firstLineChars="200"/>
        <w:rPr>
          <w:rFonts w:hint="eastAsia"/>
          <w:color w:val="000000"/>
          <w:sz w:val="24"/>
        </w:rPr>
      </w:pPr>
      <w:r>
        <w:rPr>
          <w:rFonts w:hint="eastAsia" w:ascii="宋体" w:hAnsi="宋体"/>
          <w:b/>
          <w:bCs/>
          <w:color w:val="000000"/>
          <w:sz w:val="24"/>
        </w:rPr>
        <w:t>高分子材料科学基础：</w:t>
      </w:r>
      <w:r>
        <w:rPr>
          <w:rFonts w:hint="eastAsia"/>
          <w:color w:val="000000"/>
          <w:sz w:val="24"/>
        </w:rPr>
        <w:t>掌握高分子材料的基本概念和发展历史；掌握高分子材料的合成方法及其实施；熟悉高分子链多级结构相关的基本概念，掌握高分子材料基本力学性质及加工特性。</w:t>
      </w:r>
    </w:p>
    <w:p>
      <w:pPr>
        <w:spacing w:line="360" w:lineRule="auto"/>
        <w:ind w:firstLine="482" w:firstLineChars="200"/>
        <w:rPr>
          <w:rFonts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宋体" w:hAnsi="宋体"/>
          <w:color w:val="000000"/>
          <w:sz w:val="24"/>
        </w:rPr>
        <w:t>闭卷考试，总分</w:t>
      </w:r>
      <w:r>
        <w:rPr>
          <w:rFonts w:ascii="宋体" w:hAnsi="宋体"/>
          <w:color w:val="000000"/>
          <w:sz w:val="24"/>
        </w:rPr>
        <w:t>150</w:t>
      </w:r>
      <w:r>
        <w:rPr>
          <w:rFonts w:hint="eastAsia" w:ascii="宋体" w:hAnsi="宋体"/>
          <w:color w:val="000000"/>
          <w:sz w:val="24"/>
        </w:rPr>
        <w:t>，考试时间为</w:t>
      </w:r>
      <w:r>
        <w:rPr>
          <w:rFonts w:ascii="宋体" w:hAnsi="宋体"/>
          <w:color w:val="000000"/>
          <w:sz w:val="24"/>
        </w:rPr>
        <w:t>3</w:t>
      </w:r>
      <w:r>
        <w:rPr>
          <w:rFonts w:hint="eastAsia" w:ascii="宋体" w:hAnsi="宋体"/>
          <w:color w:val="000000"/>
          <w:sz w:val="24"/>
        </w:rPr>
        <w:t>小时。</w:t>
      </w:r>
    </w:p>
    <w:p>
      <w:pPr>
        <w:spacing w:line="360" w:lineRule="auto"/>
        <w:ind w:firstLine="482" w:firstLineChars="200"/>
        <w:rPr>
          <w:rFonts w:ascii="宋体" w:hAnsi="宋体"/>
          <w:bCs/>
          <w:color w:val="000000"/>
          <w:sz w:val="24"/>
        </w:rPr>
      </w:pPr>
      <w:r>
        <w:rPr>
          <w:rFonts w:hint="eastAsia" w:ascii="宋体" w:hAnsi="宋体"/>
          <w:b/>
          <w:bCs/>
          <w:color w:val="000000"/>
          <w:sz w:val="24"/>
        </w:rPr>
        <w:t>三、参考书目（仅供参考）</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《无机材料科学基础》，张其土主编，华东理工大学出版社</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《高分子化学》，潘祖仁主</w:t>
      </w:r>
      <w:r>
        <w:rPr>
          <w:rFonts w:ascii="宋体" w:hAnsi="宋体"/>
          <w:bCs/>
          <w:color w:val="000000"/>
          <w:sz w:val="24"/>
        </w:rPr>
        <w:t>编</w:t>
      </w:r>
      <w:r>
        <w:rPr>
          <w:rFonts w:hint="eastAsia" w:ascii="宋体" w:hAnsi="宋体"/>
          <w:bCs/>
          <w:color w:val="000000"/>
          <w:sz w:val="24"/>
        </w:rPr>
        <w:t>，化学工业</w:t>
      </w:r>
      <w:r>
        <w:rPr>
          <w:rFonts w:ascii="宋体" w:hAnsi="宋体"/>
          <w:bCs/>
          <w:color w:val="000000"/>
          <w:sz w:val="24"/>
        </w:rPr>
        <w:t>出版社</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《高分子物理》，何曼君主</w:t>
      </w:r>
      <w:r>
        <w:rPr>
          <w:rFonts w:ascii="宋体" w:hAnsi="宋体"/>
          <w:bCs/>
          <w:color w:val="000000"/>
          <w:sz w:val="24"/>
        </w:rPr>
        <w:t>编</w:t>
      </w:r>
      <w:r>
        <w:rPr>
          <w:rFonts w:hint="eastAsia" w:ascii="宋体" w:hAnsi="宋体"/>
          <w:bCs/>
          <w:color w:val="000000"/>
          <w:sz w:val="24"/>
        </w:rPr>
        <w:t>，复旦大学</w:t>
      </w:r>
      <w:r>
        <w:rPr>
          <w:rFonts w:ascii="宋体" w:hAnsi="宋体"/>
          <w:bCs/>
          <w:color w:val="000000"/>
          <w:sz w:val="24"/>
        </w:rPr>
        <w:t>出版社</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主要</w:t>
      </w:r>
      <w:r>
        <w:rPr>
          <w:rFonts w:hint="eastAsia" w:ascii="宋体" w:hAnsi="宋体"/>
          <w:color w:val="000000"/>
          <w:sz w:val="24"/>
        </w:rPr>
        <w:t>包括</w:t>
      </w:r>
      <w:r>
        <w:rPr>
          <w:rFonts w:hint="eastAsia" w:ascii="宋体" w:hAnsi="宋体"/>
          <w:bCs/>
          <w:color w:val="000000"/>
          <w:sz w:val="24"/>
        </w:rPr>
        <w:t>填空题、选择题 、是非题、简达题、论述题等类型，</w:t>
      </w:r>
      <w:r>
        <w:rPr>
          <w:rFonts w:hAnsi="宋体"/>
          <w:bCs/>
          <w:color w:val="000000"/>
          <w:sz w:val="24"/>
        </w:rPr>
        <w:t>但不局限于上述题型，</w:t>
      </w:r>
      <w:r>
        <w:rPr>
          <w:rFonts w:hint="eastAsia" w:ascii="宋体" w:hAnsi="宋体"/>
          <w:bCs/>
          <w:color w:val="000000"/>
          <w:sz w:val="24"/>
        </w:rPr>
        <w:t>并根据每年的考试要求做相应调整。</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五、考试内容及要求</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无机材料科学基础：</w:t>
      </w:r>
    </w:p>
    <w:p>
      <w:pPr>
        <w:spacing w:line="360" w:lineRule="auto"/>
        <w:jc w:val="center"/>
        <w:rPr>
          <w:rFonts w:ascii="宋体" w:hAnsi="宋体"/>
          <w:b/>
          <w:bCs/>
          <w:color w:val="000000"/>
          <w:sz w:val="24"/>
        </w:rPr>
      </w:pPr>
      <w:r>
        <w:rPr>
          <w:rFonts w:hint="eastAsia" w:ascii="宋体" w:hAnsi="宋体"/>
          <w:b/>
          <w:bCs/>
          <w:color w:val="000000"/>
          <w:sz w:val="24"/>
        </w:rPr>
        <w:t>第一部分 晶体结构基础</w:t>
      </w:r>
    </w:p>
    <w:p>
      <w:pPr>
        <w:spacing w:line="360" w:lineRule="auto"/>
        <w:ind w:firstLine="482" w:firstLineChars="200"/>
        <w:rPr>
          <w:rFonts w:ascii="宋体" w:hAnsi="宋体"/>
          <w:color w:val="000000"/>
          <w:sz w:val="24"/>
        </w:rPr>
      </w:pPr>
      <w:r>
        <w:rPr>
          <w:rFonts w:hint="eastAsia" w:ascii="宋体" w:hAnsi="宋体"/>
          <w:b/>
          <w:bCs/>
          <w:color w:val="000000"/>
          <w:sz w:val="24"/>
        </w:rPr>
        <w:t>掌握：</w:t>
      </w:r>
      <w:r>
        <w:rPr>
          <w:rFonts w:hint="eastAsia" w:ascii="宋体" w:hAnsi="宋体"/>
          <w:bCs/>
          <w:color w:val="000000"/>
          <w:sz w:val="24"/>
        </w:rPr>
        <w:t>结构基元、</w:t>
      </w:r>
      <w:r>
        <w:rPr>
          <w:rFonts w:hint="eastAsia" w:ascii="Arial" w:hAnsi="Arial" w:cs="Arial"/>
          <w:color w:val="000000"/>
          <w:sz w:val="24"/>
          <w:szCs w:val="18"/>
        </w:rPr>
        <w:t>晶体的基本概念与性质，单位平行六面体的划分原则，晶体的对称要素、点群、结晶符号，晶体化学的基本原理，晶体的宏观对称，晶体的微观对称，晶胞的概念，空间群的概念；晶胞参数的计算以及二维材料、金红石结构，刚玉结构、钙钛矿结构等典型晶体结构特性。</w:t>
      </w:r>
    </w:p>
    <w:p>
      <w:pPr>
        <w:spacing w:line="360" w:lineRule="auto"/>
        <w:ind w:firstLine="482" w:firstLineChars="200"/>
        <w:rPr>
          <w:rFonts w:hint="eastAsia" w:ascii="宋体" w:hAnsi="宋体"/>
          <w:color w:val="000000"/>
          <w:sz w:val="24"/>
        </w:rPr>
      </w:pPr>
      <w:r>
        <w:rPr>
          <w:rFonts w:hint="eastAsia" w:ascii="宋体" w:hAnsi="宋体"/>
          <w:b/>
          <w:bCs/>
          <w:color w:val="000000"/>
          <w:sz w:val="24"/>
        </w:rPr>
        <w:t>熟悉：</w:t>
      </w:r>
      <w:r>
        <w:rPr>
          <w:rFonts w:hint="eastAsia" w:ascii="宋体" w:hAnsi="宋体"/>
          <w:color w:val="000000"/>
          <w:sz w:val="24"/>
        </w:rPr>
        <w:t>晶体的宏观对称，晶体的微观对称，晶胞的概念，空间群的概念，球体紧密堆积原理，</w:t>
      </w:r>
      <w:r>
        <w:rPr>
          <w:rFonts w:hint="eastAsia" w:ascii="Arial" w:hAnsi="Arial" w:cs="Arial"/>
          <w:color w:val="000000"/>
          <w:sz w:val="24"/>
          <w:szCs w:val="18"/>
        </w:rPr>
        <w:t>二维材料（二硫化钼）、</w:t>
      </w:r>
      <w:r>
        <w:rPr>
          <w:rFonts w:hint="eastAsia" w:ascii="宋体" w:hAnsi="宋体"/>
          <w:color w:val="000000"/>
          <w:sz w:val="24"/>
        </w:rPr>
        <w:t>钙钛矿结构，离子晶体结构中负离子的堆积方式、正离子的配位数、正离子占据的空隙位置。</w:t>
      </w:r>
    </w:p>
    <w:p>
      <w:pPr>
        <w:spacing w:line="360" w:lineRule="auto"/>
        <w:ind w:firstLine="482" w:firstLineChars="200"/>
        <w:jc w:val="center"/>
        <w:rPr>
          <w:rStyle w:val="9"/>
          <w:rFonts w:hint="eastAsia" w:ascii="Arial" w:hAnsi="Arial" w:cs="Arial"/>
          <w:color w:val="000000"/>
          <w:sz w:val="24"/>
          <w:szCs w:val="18"/>
        </w:rPr>
      </w:pPr>
      <w:r>
        <w:rPr>
          <w:rFonts w:hint="eastAsia" w:ascii="宋体" w:hAnsi="宋体"/>
          <w:b/>
          <w:bCs/>
          <w:color w:val="000000"/>
          <w:sz w:val="24"/>
        </w:rPr>
        <w:t xml:space="preserve">第二部分 </w:t>
      </w:r>
      <w:r>
        <w:rPr>
          <w:rFonts w:hint="eastAsia" w:ascii="Arial" w:hAnsi="Arial" w:cs="Arial"/>
          <w:b/>
          <w:bCs/>
          <w:color w:val="000000"/>
          <w:sz w:val="24"/>
          <w:szCs w:val="18"/>
        </w:rPr>
        <w:t>晶体结构缺陷</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点缺陷的概念与类型，热缺陷的分类，热缺陷浓度的计算，固溶体的概念与分类，能熟练书写缺陷化学反应方程式和相应的固溶式，形成连续置换型固溶体的条件，组份缺陷的形成原因。</w:t>
      </w:r>
    </w:p>
    <w:p>
      <w:pPr>
        <w:spacing w:line="360" w:lineRule="auto"/>
        <w:ind w:firstLine="472" w:firstLineChars="196"/>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点缺陷的概念与类型，固溶体的概念与分类，能熟练书写缺陷化学反应方程式和相应的固溶式，形成连续置换型固溶体的条件。</w:t>
      </w:r>
    </w:p>
    <w:p>
      <w:pPr>
        <w:spacing w:line="360" w:lineRule="auto"/>
        <w:ind w:firstLine="472" w:firstLineChars="196"/>
        <w:jc w:val="center"/>
        <w:rPr>
          <w:rFonts w:ascii="宋体" w:hAnsi="宋体"/>
          <w:b/>
          <w:bCs/>
          <w:color w:val="000000"/>
          <w:sz w:val="24"/>
        </w:rPr>
      </w:pPr>
      <w:r>
        <w:rPr>
          <w:rFonts w:hint="eastAsia" w:ascii="宋体" w:hAnsi="宋体"/>
          <w:b/>
          <w:bCs/>
          <w:color w:val="000000"/>
          <w:sz w:val="24"/>
        </w:rPr>
        <w:t>第三部分 非晶态固体</w:t>
      </w:r>
    </w:p>
    <w:p>
      <w:pPr>
        <w:spacing w:line="360" w:lineRule="auto"/>
        <w:ind w:firstLine="482" w:firstLineChars="200"/>
        <w:rPr>
          <w:rFonts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熔体的概念，粘度的概念，玻璃的通性，玻璃态物质的形成方法，玻璃形成的热力学观点和动力学手段，形成玻璃的结晶化学条件，玻璃的结构，硅酸盐玻璃的结构特征和玻璃结构参数的计算，硼酸盐玻璃。</w:t>
      </w:r>
    </w:p>
    <w:p>
      <w:pPr>
        <w:spacing w:line="360" w:lineRule="auto"/>
        <w:ind w:firstLine="482" w:firstLineChars="200"/>
        <w:rPr>
          <w:rFonts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玻璃的结构，粘度的概念，形成玻璃的结晶化学条件，玻璃结构参数的计算。</w:t>
      </w:r>
    </w:p>
    <w:p>
      <w:pPr>
        <w:spacing w:line="360" w:lineRule="auto"/>
        <w:jc w:val="center"/>
        <w:rPr>
          <w:rFonts w:ascii="宋体" w:hAnsi="宋体"/>
          <w:b/>
          <w:bCs/>
          <w:color w:val="000000"/>
          <w:sz w:val="24"/>
        </w:rPr>
      </w:pPr>
      <w:r>
        <w:rPr>
          <w:rStyle w:val="9"/>
          <w:rFonts w:hint="eastAsia" w:ascii="Arial" w:hAnsi="Arial" w:cs="Arial"/>
          <w:color w:val="000000"/>
          <w:sz w:val="24"/>
          <w:szCs w:val="18"/>
        </w:rPr>
        <w:t xml:space="preserve">第四部分 </w:t>
      </w:r>
      <w:r>
        <w:rPr>
          <w:rFonts w:hint="eastAsia" w:ascii="Arial" w:hAnsi="Arial" w:cs="Arial"/>
          <w:b/>
          <w:bCs/>
          <w:color w:val="000000"/>
          <w:sz w:val="24"/>
          <w:szCs w:val="18"/>
        </w:rPr>
        <w:t>材料的表面与界面</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掌握：</w:t>
      </w:r>
      <w:r>
        <w:rPr>
          <w:rFonts w:hint="eastAsia" w:ascii="Arial" w:hAnsi="Arial" w:cs="Arial"/>
          <w:color w:val="000000"/>
          <w:sz w:val="24"/>
          <w:szCs w:val="18"/>
        </w:rPr>
        <w:t xml:space="preserve">固体的表面力场、晶体的表面结构，固体表面的双电层对表面能的影响，弯曲表面效应，润湿与粘附的概念与特点，表面粗糙度对润湿的影响，界面行为，晶界结构与分类，多晶体的组织； </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固体表面的双电层对表面能的影响，润湿与粘附的概念与特点，表面粗糙度对润湿的影响。</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第五部分   </w:t>
      </w:r>
      <w:r>
        <w:rPr>
          <w:rFonts w:hint="eastAsia" w:ascii="Arial" w:hAnsi="Arial" w:cs="Arial"/>
          <w:b/>
          <w:bCs/>
          <w:color w:val="000000"/>
          <w:sz w:val="24"/>
          <w:szCs w:val="18"/>
        </w:rPr>
        <w:t>相图</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掌握：</w:t>
      </w:r>
      <w:r>
        <w:rPr>
          <w:rFonts w:hint="eastAsia" w:ascii="Arial" w:hAnsi="Arial" w:cs="Arial"/>
          <w:color w:val="000000"/>
          <w:sz w:val="24"/>
          <w:szCs w:val="18"/>
        </w:rPr>
        <w:t>相图的基本知识，水型物质与硫型物质，单元系统相图，可逆与不可逆多晶转变的单元相图，二元系统相图的特点，二元相图的分析。</w:t>
      </w:r>
    </w:p>
    <w:p>
      <w:pPr>
        <w:spacing w:line="360" w:lineRule="auto"/>
        <w:ind w:firstLine="482" w:firstLineChars="200"/>
        <w:rPr>
          <w:rFonts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可逆与不可逆多晶转变的单元相图，二元系统相图的特点。</w:t>
      </w:r>
    </w:p>
    <w:p>
      <w:pPr>
        <w:spacing w:line="360" w:lineRule="auto"/>
        <w:ind w:firstLine="482" w:firstLineChars="200"/>
        <w:jc w:val="center"/>
        <w:rPr>
          <w:rFonts w:hint="eastAsia" w:ascii="Arial" w:hAnsi="Arial" w:cs="Arial"/>
          <w:color w:val="000000"/>
          <w:sz w:val="24"/>
          <w:szCs w:val="18"/>
        </w:rPr>
      </w:pPr>
      <w:r>
        <w:rPr>
          <w:rFonts w:hint="eastAsia" w:ascii="宋体" w:hAnsi="宋体"/>
          <w:b/>
          <w:bCs/>
          <w:color w:val="000000"/>
          <w:sz w:val="24"/>
        </w:rPr>
        <w:t xml:space="preserve">第六部分   </w:t>
      </w:r>
      <w:r>
        <w:rPr>
          <w:rFonts w:hint="eastAsia" w:ascii="Arial" w:hAnsi="Arial" w:cs="Arial"/>
          <w:b/>
          <w:bCs/>
          <w:color w:val="000000"/>
          <w:sz w:val="24"/>
          <w:szCs w:val="18"/>
        </w:rPr>
        <w:t>相变</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相变的分类方法和特点，马氏体相变的特征，相变过程的不平衡态与亚稳区，相变过程的推动力，晶核形成条件，影响析晶能力的因素，液-固相变过程动力学，分相的结晶化学观点，液相的不混溶现象。</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熟悉：</w:t>
      </w:r>
      <w:r>
        <w:rPr>
          <w:rFonts w:hint="eastAsia" w:ascii="Arial" w:hAnsi="Arial" w:cs="Arial"/>
          <w:color w:val="000000"/>
          <w:sz w:val="24"/>
          <w:szCs w:val="18"/>
        </w:rPr>
        <w:t>相变的分类方法和特点，马氏体相变的特征，相变过程的推动力，晶核形成条件，分相的结晶化学观点。</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高分子材料科学部分：</w:t>
      </w:r>
    </w:p>
    <w:p>
      <w:pPr>
        <w:spacing w:line="360" w:lineRule="auto"/>
        <w:jc w:val="center"/>
        <w:rPr>
          <w:rFonts w:ascii="宋体" w:hAnsi="宋体"/>
          <w:b/>
          <w:bCs/>
          <w:color w:val="000000"/>
          <w:sz w:val="24"/>
        </w:rPr>
      </w:pPr>
      <w:r>
        <w:rPr>
          <w:rFonts w:hint="eastAsia" w:ascii="宋体" w:hAnsi="宋体"/>
          <w:b/>
          <w:bCs/>
          <w:color w:val="000000"/>
          <w:sz w:val="24"/>
        </w:rPr>
        <w:t>第一部分 高分子材料简介</w:t>
      </w:r>
    </w:p>
    <w:p>
      <w:pPr>
        <w:spacing w:line="360" w:lineRule="auto"/>
        <w:ind w:firstLine="482" w:firstLineChars="200"/>
        <w:rPr>
          <w:rFonts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高分子学科的发展历程，重点人物，重要事件；高分子材料未来发展趋势；高分子材料定义，特征，应用领域；高分子材料分类；天然高分子和合成高分子；塑料；纤维；橡胶；涂料。</w:t>
      </w:r>
    </w:p>
    <w:p>
      <w:pPr>
        <w:ind w:firstLine="482" w:firstLineChars="200"/>
        <w:rPr>
          <w:rFonts w:hint="eastAsia" w:ascii="宋体" w:hAnsi="宋体"/>
          <w:color w:val="000000"/>
          <w:sz w:val="24"/>
          <w:szCs w:val="27"/>
        </w:rPr>
      </w:pPr>
      <w:r>
        <w:rPr>
          <w:rFonts w:hint="eastAsia" w:ascii="宋体" w:hAnsi="宋体"/>
          <w:b/>
          <w:bCs/>
          <w:color w:val="000000"/>
          <w:sz w:val="24"/>
        </w:rPr>
        <w:t>熟悉：</w:t>
      </w:r>
      <w:r>
        <w:rPr>
          <w:rFonts w:hint="eastAsia" w:ascii="宋体" w:hAnsi="宋体"/>
          <w:bCs/>
          <w:color w:val="000000"/>
          <w:sz w:val="24"/>
        </w:rPr>
        <w:t>高分子科学发展历史中的重要人物、事件（诺贝尔奖）；高分子材料定义，特征，应用领域。</w:t>
      </w:r>
    </w:p>
    <w:p>
      <w:pPr>
        <w:rPr>
          <w:rFonts w:hint="eastAsia"/>
        </w:rPr>
      </w:pPr>
    </w:p>
    <w:p>
      <w:pPr>
        <w:spacing w:line="360" w:lineRule="auto"/>
        <w:jc w:val="center"/>
        <w:rPr>
          <w:rFonts w:ascii="宋体" w:hAnsi="宋体"/>
          <w:b/>
          <w:bCs/>
          <w:color w:val="000000"/>
          <w:sz w:val="24"/>
        </w:rPr>
      </w:pPr>
      <w:r>
        <w:rPr>
          <w:rFonts w:hint="eastAsia" w:ascii="宋体" w:hAnsi="宋体"/>
          <w:b/>
          <w:bCs/>
          <w:color w:val="000000"/>
          <w:sz w:val="24"/>
        </w:rPr>
        <w:t>第二部分 高分子聚合</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宋体" w:hAnsi="宋体"/>
          <w:bCs/>
          <w:color w:val="000000"/>
          <w:sz w:val="24"/>
        </w:rPr>
        <w:t>高分子聚合分类；缩聚和逐步聚合；连锁聚合；自由基聚合物，阴离子聚合，配位聚合；活性聚合；引发剂定义、种类及其引发机理；单体活性的选择规则；离子聚合与自由基聚合物比较；均聚和共聚；聚合方法，溶液聚合，悬浮聚合，乳液聚合物以及本体聚合。</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高分子聚合分类；连锁聚合；引发剂定义、种类及其引发机理；活性聚合；单体聚合的取代基效应；溶液聚合物，乳液聚合。</w:t>
      </w:r>
    </w:p>
    <w:p>
      <w:pPr>
        <w:spacing w:line="360" w:lineRule="auto"/>
        <w:ind w:firstLine="420" w:firstLineChars="200"/>
        <w:rPr>
          <w:rFonts w:hint="eastAsia"/>
        </w:rPr>
      </w:pPr>
    </w:p>
    <w:p>
      <w:pPr>
        <w:jc w:val="center"/>
        <w:rPr>
          <w:rFonts w:hint="eastAsia" w:ascii="宋体" w:hAnsi="宋体"/>
          <w:b/>
          <w:bCs/>
          <w:color w:val="000000"/>
          <w:sz w:val="24"/>
        </w:rPr>
      </w:pPr>
      <w:r>
        <w:rPr>
          <w:rFonts w:hint="eastAsia" w:ascii="宋体" w:hAnsi="宋体"/>
          <w:b/>
          <w:bCs/>
          <w:color w:val="000000"/>
          <w:sz w:val="24"/>
        </w:rPr>
        <w:t>第三部分 高分子链结构及其溶液性质</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宋体" w:hAnsi="宋体"/>
          <w:bCs/>
          <w:color w:val="000000"/>
          <w:sz w:val="24"/>
        </w:rPr>
        <w:t>分子量，分子量分布，结构单元，构型和构象；交联和支化；蠕虫状链；Flory溶液理论；标度律；亚浓溶液；理想溶液；凝胶化；电解质溶液；溶液扩散；均方末端距。</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空间构型；单链形态；构象行为；临界接触浓度；物理交联与化学交联；相似相溶；凝胶。</w:t>
      </w:r>
    </w:p>
    <w:p>
      <w:pPr>
        <w:jc w:val="center"/>
        <w:rPr>
          <w:rFonts w:hint="eastAsia" w:ascii="宋体" w:hAnsi="宋体"/>
          <w:b/>
          <w:bCs/>
          <w:color w:val="000000"/>
          <w:sz w:val="24"/>
        </w:rPr>
      </w:pPr>
      <w:r>
        <w:rPr>
          <w:rFonts w:hint="eastAsia" w:ascii="宋体" w:hAnsi="宋体"/>
          <w:b/>
          <w:bCs/>
          <w:color w:val="000000"/>
          <w:sz w:val="24"/>
        </w:rPr>
        <w:t>第四部分 高分子凝聚态结构</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宋体" w:hAnsi="宋体"/>
          <w:bCs/>
          <w:color w:val="000000"/>
          <w:sz w:val="24"/>
        </w:rPr>
        <w:t>非晶态和晶态聚合物</w:t>
      </w:r>
      <w:r>
        <w:rPr>
          <w:rFonts w:hint="eastAsia" w:ascii="Arial" w:hAnsi="Arial" w:cs="Arial"/>
          <w:color w:val="000000"/>
          <w:sz w:val="24"/>
          <w:szCs w:val="18"/>
        </w:rPr>
        <w:t>的概念</w:t>
      </w:r>
      <w:r>
        <w:rPr>
          <w:rFonts w:hint="eastAsia" w:ascii="宋体" w:hAnsi="宋体"/>
          <w:bCs/>
          <w:color w:val="000000"/>
          <w:sz w:val="24"/>
        </w:rPr>
        <w:t>；结构模型；非晶态聚合物力学性质和热转变过程；玻璃化转变温度；分子链取向结构；粘弹性；熔点；结晶度；液晶态；球晶；结晶对物理属性和机械性能的影响。</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结晶与非晶态；取向；相态转变温度；粘弹性；结晶度；结晶模型；液晶相；熔点。</w:t>
      </w:r>
    </w:p>
    <w:p>
      <w:pPr>
        <w:jc w:val="center"/>
        <w:rPr>
          <w:rFonts w:hint="eastAsia" w:ascii="宋体" w:hAnsi="宋体"/>
          <w:b/>
          <w:bCs/>
          <w:color w:val="000000"/>
          <w:sz w:val="24"/>
        </w:rPr>
      </w:pPr>
      <w:r>
        <w:rPr>
          <w:rFonts w:hint="eastAsia" w:ascii="宋体" w:hAnsi="宋体"/>
          <w:b/>
          <w:bCs/>
          <w:color w:val="000000"/>
          <w:sz w:val="24"/>
        </w:rPr>
        <w:t>第五部分 高分子机械力学性质</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掌握：</w:t>
      </w:r>
      <w:r>
        <w:rPr>
          <w:rFonts w:hint="eastAsia" w:ascii="宋体" w:hAnsi="宋体"/>
          <w:bCs/>
          <w:color w:val="000000"/>
          <w:sz w:val="24"/>
        </w:rPr>
        <w:t>拉伸行为；模量</w:t>
      </w:r>
      <w:r>
        <w:rPr>
          <w:rFonts w:hint="eastAsia" w:ascii="Arial" w:hAnsi="Arial" w:cs="Arial"/>
          <w:color w:val="000000"/>
          <w:sz w:val="24"/>
          <w:szCs w:val="18"/>
        </w:rPr>
        <w:t>的概念</w:t>
      </w:r>
      <w:r>
        <w:rPr>
          <w:rFonts w:hint="eastAsia" w:ascii="宋体" w:hAnsi="宋体"/>
          <w:bCs/>
          <w:color w:val="000000"/>
          <w:sz w:val="24"/>
        </w:rPr>
        <w:t>；玻璃态、结晶态、粘弹态对力学性质的影响；屈服行为；断裂理论；影响聚合物机械强度的因素；高弹性与黏弹性；交联网络；力学松弛；四元件模型；时温等效原理；松驰转变及其分子机理；流变特性。</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熟悉：</w:t>
      </w:r>
      <w:r>
        <w:rPr>
          <w:rFonts w:hint="eastAsia" w:ascii="宋体" w:hAnsi="宋体"/>
          <w:bCs/>
          <w:color w:val="000000"/>
          <w:sz w:val="24"/>
        </w:rPr>
        <w:t>力学性质；杨氏模量；相态与机械性质的关系；高弹性与黏弹性；四元件模型；时温等效原理。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MS Shell Dlg">
    <w:altName w:val="Microsoft Sans Serif"/>
    <w:panose1 w:val="020B0604020202020204"/>
    <w:charset w:val="00"/>
    <w:family w:val="swiss"/>
    <w:pitch w:val="default"/>
    <w:sig w:usb0="E1003AFF" w:usb1="C0000002" w:usb2="00000008" w:usb3="00000000" w:csb0="000101FF" w:csb1="00000000"/>
  </w:font>
  <w:font w:name="Arial">
    <w:panose1 w:val="020B0604020202020204"/>
    <w:charset w:val="00"/>
    <w:family w:val="swiss"/>
    <w:pitch w:val="default"/>
    <w:sig w:usb0="E0002EFF" w:usb1="C000785B" w:usb2="00000009" w:usb3="00000000" w:csb0="400001FF" w:csb1="FFFF0000"/>
  </w:font>
  <w:font w:name="Microsoft Sans Serif">
    <w:panose1 w:val="020B0604020202020204"/>
    <w:charset w:val="00"/>
    <w:family w:val="auto"/>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B0"/>
    <w:rsid w:val="00086617"/>
    <w:rsid w:val="001007C1"/>
    <w:rsid w:val="001F111A"/>
    <w:rsid w:val="001F6486"/>
    <w:rsid w:val="002045E2"/>
    <w:rsid w:val="00225974"/>
    <w:rsid w:val="003E3C2D"/>
    <w:rsid w:val="00467D8D"/>
    <w:rsid w:val="005C7776"/>
    <w:rsid w:val="0060773A"/>
    <w:rsid w:val="00662208"/>
    <w:rsid w:val="006B0F0E"/>
    <w:rsid w:val="00712AC4"/>
    <w:rsid w:val="007606A7"/>
    <w:rsid w:val="00785E08"/>
    <w:rsid w:val="00852304"/>
    <w:rsid w:val="008C5605"/>
    <w:rsid w:val="00AF3323"/>
    <w:rsid w:val="00B2560A"/>
    <w:rsid w:val="00B27FE2"/>
    <w:rsid w:val="00B352A5"/>
    <w:rsid w:val="00BF4E24"/>
    <w:rsid w:val="00CA0AF4"/>
    <w:rsid w:val="00D1451E"/>
    <w:rsid w:val="00DD134F"/>
    <w:rsid w:val="00E21C38"/>
    <w:rsid w:val="00E562FD"/>
    <w:rsid w:val="00E6194C"/>
    <w:rsid w:val="00EC16D9"/>
    <w:rsid w:val="00EC25B0"/>
    <w:rsid w:val="00F36ACB"/>
    <w:rsid w:val="00FC1B47"/>
    <w:rsid w:val="408E5EBE"/>
    <w:rsid w:val="72946C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Arial Unicode MS" w:hAnsi="Arial Unicode MS" w:eastAsia="Arial Unicode MS"/>
      <w:b/>
      <w:bCs/>
      <w:color w:val="000000"/>
      <w:kern w:val="36"/>
      <w:sz w:val="48"/>
      <w:szCs w:val="48"/>
    </w:rPr>
  </w:style>
  <w:style w:type="paragraph" w:styleId="3">
    <w:name w:val="heading 3"/>
    <w:basedOn w:val="1"/>
    <w:qFormat/>
    <w:uiPriority w:val="0"/>
    <w:pPr>
      <w:widowControl/>
      <w:snapToGrid w:val="0"/>
      <w:spacing w:line="288" w:lineRule="auto"/>
      <w:ind w:firstLine="211" w:firstLineChars="100"/>
      <w:jc w:val="left"/>
      <w:outlineLvl w:val="2"/>
    </w:pPr>
    <w:rPr>
      <w:rFonts w:ascii="宋体" w:hAnsi="宋体"/>
      <w:b/>
      <w:color w:val="000000"/>
      <w:kern w:val="0"/>
      <w:szCs w:val="27"/>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4">
    <w:name w:val="Body Text Indent 2"/>
    <w:basedOn w:val="1"/>
    <w:uiPriority w:val="0"/>
    <w:pPr>
      <w:spacing w:after="120" w:line="480" w:lineRule="auto"/>
      <w:ind w:left="420" w:leftChars="200"/>
    </w:p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customStyle="1" w:styleId="10">
    <w:name w:val="页眉 字符"/>
    <w:link w:val="6"/>
    <w:uiPriority w:val="0"/>
    <w:rPr>
      <w:kern w:val="2"/>
      <w:sz w:val="18"/>
      <w:szCs w:val="18"/>
    </w:rPr>
  </w:style>
  <w:style w:type="character" w:customStyle="1" w:styleId="11">
    <w:name w:val="页脚 字符"/>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325</Words>
  <Characters>1853</Characters>
  <Lines>15</Lines>
  <Paragraphs>4</Paragraphs>
  <TotalTime>0</TotalTime>
  <ScaleCrop>false</ScaleCrop>
  <LinksUpToDate>false</LinksUpToDate>
  <CharactersWithSpaces>2174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2020-09-16T15:51:00Z</dcterms:created>
  <dc:creator>lenovo01</dc:creator>
  <cp:lastModifiedBy>Administrator</cp:lastModifiedBy>
  <dcterms:modified xsi:type="dcterms:W3CDTF">2021-10-11T03:58:40Z</dcterms:modified>
  <dc:title>803《材料科学基础》复习大纲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