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0" w:beforeAutospacing="0" w:after="330" w:afterAutospacing="0"/>
        <w:jc w:val="center"/>
        <w:rPr>
          <w:rFonts w:hint="eastAsia" w:ascii="黑体" w:hAnsi="MS Shell Dlg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Times New Roman" w:eastAsia="黑体"/>
          <w:sz w:val="28"/>
          <w:szCs w:val="28"/>
        </w:rPr>
        <w:t>502《规划设计》考试大纲</w:t>
      </w:r>
    </w:p>
    <w:p>
      <w:pPr>
        <w:spacing w:line="360" w:lineRule="auto"/>
        <w:ind w:firstLine="472" w:firstLineChars="196"/>
        <w:rPr>
          <w:rFonts w:ascii="Arial Unicode MS" w:hAnsi="Arial Unicode MS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一、考试的基本要求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要求学生比较系统地理解和掌握城市规划与设计的基本原理、设计方法与技巧；了解各种因素影响下的城市发展规律；具有较好的</w:t>
      </w:r>
      <w:r>
        <w:rPr>
          <w:color w:val="000000"/>
          <w:sz w:val="24"/>
        </w:rPr>
        <w:t>构思能力</w:t>
      </w:r>
      <w:r>
        <w:rPr>
          <w:rFonts w:hint="eastAsia"/>
          <w:color w:val="000000"/>
          <w:sz w:val="24"/>
        </w:rPr>
        <w:t>和</w:t>
      </w:r>
      <w:r>
        <w:rPr>
          <w:color w:val="000000"/>
          <w:sz w:val="24"/>
        </w:rPr>
        <w:t>设计创造性</w:t>
      </w:r>
      <w:r>
        <w:rPr>
          <w:rFonts w:hint="eastAsia"/>
          <w:color w:val="000000"/>
          <w:sz w:val="24"/>
        </w:rPr>
        <w:t>；能够</w:t>
      </w:r>
      <w:r>
        <w:rPr>
          <w:color w:val="000000"/>
          <w:sz w:val="24"/>
        </w:rPr>
        <w:t>合理</w:t>
      </w:r>
      <w:r>
        <w:rPr>
          <w:rFonts w:hint="eastAsia"/>
          <w:color w:val="000000"/>
          <w:sz w:val="24"/>
        </w:rPr>
        <w:t>进行各种类型城市地段的规划设计，并综合运用所学的知识分析问题和解决问题。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二、考试方式和考试时间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闭卷考试，总分</w:t>
      </w:r>
      <w:r>
        <w:rPr>
          <w:rFonts w:ascii="宋体" w:hAnsi="宋体"/>
          <w:color w:val="000000"/>
          <w:sz w:val="24"/>
        </w:rPr>
        <w:t>150</w:t>
      </w:r>
      <w:r>
        <w:rPr>
          <w:rFonts w:hint="eastAsia" w:ascii="宋体" w:hAnsi="宋体"/>
          <w:color w:val="000000"/>
          <w:sz w:val="24"/>
        </w:rPr>
        <w:t>，考试时间为6小时。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三、参考书目（仅供参考）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bCs/>
          <w:sz w:val="24"/>
        </w:rPr>
        <w:t xml:space="preserve">[1] 吴志强，李德华. </w:t>
      </w:r>
      <w:r>
        <w:rPr>
          <w:bCs/>
          <w:sz w:val="24"/>
        </w:rPr>
        <w:t>城市规划原理 [M]</w:t>
      </w:r>
      <w:r>
        <w:rPr>
          <w:rFonts w:hint="eastAsia"/>
          <w:bCs/>
          <w:sz w:val="24"/>
        </w:rPr>
        <w:t xml:space="preserve">. 第四版. </w:t>
      </w:r>
      <w:r>
        <w:rPr>
          <w:bCs/>
          <w:sz w:val="24"/>
        </w:rPr>
        <w:t>北京</w:t>
      </w:r>
      <w:r>
        <w:rPr>
          <w:rFonts w:hint="eastAsia"/>
          <w:bCs/>
          <w:sz w:val="24"/>
        </w:rPr>
        <w:t>：中国建筑工业出版社，2010</w:t>
      </w:r>
      <w:r>
        <w:rPr>
          <w:rFonts w:hint="eastAsia" w:ascii="宋体" w:hAnsi="宋体"/>
          <w:bCs/>
          <w:color w:val="000000"/>
          <w:sz w:val="24"/>
        </w:rPr>
        <w:t xml:space="preserve">     </w:t>
      </w:r>
      <w:r>
        <w:rPr>
          <w:rFonts w:hint="eastAsia" w:ascii="宋体" w:hAnsi="宋体"/>
          <w:sz w:val="24"/>
        </w:rPr>
        <w:t xml:space="preserve">   </w:t>
      </w:r>
    </w:p>
    <w:p>
      <w:pPr>
        <w:spacing w:line="300" w:lineRule="auto"/>
        <w:ind w:firstLine="480"/>
        <w:rPr>
          <w:rFonts w:hint="eastAsia" w:ascii="宋体" w:hAnsi="宋体"/>
          <w:sz w:val="24"/>
        </w:rPr>
      </w:pPr>
      <w:r>
        <w:rPr>
          <w:rFonts w:hint="eastAsia"/>
          <w:bCs/>
          <w:sz w:val="24"/>
        </w:rPr>
        <w:t xml:space="preserve">[2] 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HYPERLINK "http://www.youlu.net/search/result/?author=%c8%a8%d1%c7%c1%e1+%d5%c5%d9%bb+%c0%e8%d6%be%cc%ce" \t "_blank"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sz w:val="24"/>
        </w:rPr>
        <w:t>权亚玲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张倩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黎志涛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. 快速规划设计100例</w:t>
      </w:r>
      <w:r>
        <w:rPr>
          <w:bCs/>
          <w:sz w:val="24"/>
        </w:rPr>
        <w:t>[M]</w:t>
      </w:r>
      <w:r>
        <w:rPr>
          <w:rFonts w:hint="eastAsia"/>
          <w:bCs/>
          <w:sz w:val="24"/>
        </w:rPr>
        <w:t xml:space="preserve">. </w:t>
      </w:r>
      <w:r>
        <w:rPr>
          <w:rFonts w:hint="eastAsia" w:ascii="宋体" w:hAnsi="宋体"/>
          <w:sz w:val="24"/>
        </w:rPr>
        <w:t>南京：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HYPERLINK "http://www.youlu.net/publisher/5345" \t "_blank"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sz w:val="24"/>
        </w:rPr>
        <w:t>江苏科学技术出版社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2010</w:t>
      </w:r>
    </w:p>
    <w:p>
      <w:pPr>
        <w:spacing w:line="300" w:lineRule="auto"/>
        <w:ind w:firstLine="480"/>
        <w:rPr>
          <w:rFonts w:hint="eastAsia" w:ascii="宋体" w:hAnsi="宋体"/>
          <w:sz w:val="24"/>
        </w:rPr>
      </w:pPr>
      <w:r>
        <w:rPr>
          <w:rFonts w:hint="eastAsia"/>
          <w:bCs/>
          <w:sz w:val="24"/>
        </w:rPr>
        <w:t xml:space="preserve">[3] </w:t>
      </w:r>
      <w:r>
        <w:rPr>
          <w:rFonts w:ascii="宋体" w:hAnsi="宋体"/>
          <w:sz w:val="24"/>
        </w:rPr>
        <w:t>城市规划</w:t>
      </w:r>
      <w:r>
        <w:rPr>
          <w:rFonts w:hint="eastAsia" w:ascii="宋体" w:hAnsi="宋体"/>
          <w:sz w:val="24"/>
        </w:rPr>
        <w:t>（城乡规划）</w:t>
      </w:r>
      <w:r>
        <w:rPr>
          <w:rFonts w:ascii="宋体" w:hAnsi="宋体"/>
          <w:sz w:val="24"/>
        </w:rPr>
        <w:t>专业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本科</w:t>
      </w:r>
      <w:r>
        <w:rPr>
          <w:rFonts w:hint="eastAsia" w:ascii="宋体" w:hAnsi="宋体"/>
          <w:sz w:val="24"/>
        </w:rPr>
        <w:t>）有关</w:t>
      </w:r>
      <w:r>
        <w:rPr>
          <w:rFonts w:ascii="宋体" w:hAnsi="宋体"/>
          <w:sz w:val="24"/>
        </w:rPr>
        <w:t>教材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四、试题类型：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本考试为</w:t>
      </w:r>
      <w:r>
        <w:rPr>
          <w:rFonts w:hint="eastAsia" w:ascii="宋体" w:hAnsi="宋体"/>
          <w:sz w:val="24"/>
        </w:rPr>
        <w:t>徒手结合尺规作图题（表达形式为墨线、彩绘等）</w:t>
      </w:r>
      <w:r>
        <w:rPr>
          <w:rFonts w:hint="eastAsia" w:ascii="宋体" w:hAnsi="宋体"/>
          <w:bCs/>
          <w:color w:val="000000"/>
          <w:sz w:val="24"/>
        </w:rPr>
        <w:t>，并根据每年的考试要求作相应调整。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五、考试内容及要求</w:t>
      </w:r>
    </w:p>
    <w:p>
      <w:pPr>
        <w:spacing w:line="360" w:lineRule="auto"/>
        <w:jc w:val="center"/>
        <w:rPr>
          <w:rFonts w:ascii="宋体"/>
          <w:b/>
          <w:bCs/>
          <w:color w:val="000000"/>
          <w:sz w:val="24"/>
        </w:rPr>
      </w:pPr>
      <w:r>
        <w:rPr>
          <w:rFonts w:hint="eastAsia" w:ascii="宋体"/>
          <w:b/>
          <w:bCs/>
          <w:color w:val="000000"/>
          <w:sz w:val="24"/>
        </w:rPr>
        <w:t>考试内容</w:t>
      </w:r>
    </w:p>
    <w:p>
      <w:pPr>
        <w:spacing w:line="360" w:lineRule="auto"/>
        <w:ind w:firstLine="482" w:firstLineChars="200"/>
        <w:rPr>
          <w:rFonts w:hint="eastAsia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宋体" w:hAnsi="宋体"/>
          <w:sz w:val="24"/>
        </w:rPr>
        <w:t>城市规划与</w:t>
      </w:r>
      <w:r>
        <w:rPr>
          <w:rFonts w:hint="eastAsia"/>
          <w:color w:val="000000"/>
          <w:sz w:val="24"/>
        </w:rPr>
        <w:t>设计的基本原理；城市规划与设计的基本方法与技巧。</w:t>
      </w:r>
    </w:p>
    <w:p>
      <w:pPr>
        <w:spacing w:line="360" w:lineRule="auto"/>
        <w:ind w:firstLine="482" w:firstLineChars="200"/>
        <w:rPr>
          <w:rFonts w:hint="eastAsia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熟悉：</w:t>
      </w:r>
      <w:r>
        <w:rPr>
          <w:rFonts w:hint="eastAsia"/>
          <w:color w:val="000000"/>
          <w:sz w:val="24"/>
        </w:rPr>
        <w:t>各种类型城市地段的</w:t>
      </w:r>
      <w:r>
        <w:rPr>
          <w:color w:val="000000"/>
          <w:sz w:val="24"/>
        </w:rPr>
        <w:t>设计理念、构思能力、设计创造性、特定问题的针对性解决，功能布局应合理，</w:t>
      </w:r>
      <w:r>
        <w:rPr>
          <w:rFonts w:hint="eastAsia"/>
          <w:color w:val="000000"/>
          <w:sz w:val="24"/>
        </w:rPr>
        <w:t>在</w:t>
      </w:r>
      <w:r>
        <w:rPr>
          <w:color w:val="000000"/>
          <w:sz w:val="24"/>
        </w:rPr>
        <w:t>工程技术条件、可操作性、适应性等方面有实现可能</w:t>
      </w:r>
      <w:r>
        <w:rPr>
          <w:rFonts w:hint="eastAsia"/>
          <w:color w:val="000000"/>
          <w:sz w:val="24"/>
        </w:rPr>
        <w:t>性</w:t>
      </w:r>
      <w:r>
        <w:rPr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能较好地</w:t>
      </w:r>
      <w:r>
        <w:rPr>
          <w:color w:val="000000"/>
          <w:sz w:val="24"/>
        </w:rPr>
        <w:t>表达</w:t>
      </w:r>
      <w:r>
        <w:rPr>
          <w:rFonts w:hint="eastAsia"/>
          <w:color w:val="000000"/>
          <w:sz w:val="24"/>
        </w:rPr>
        <w:t>规划设计</w:t>
      </w:r>
      <w:r>
        <w:rPr>
          <w:color w:val="000000"/>
          <w:sz w:val="24"/>
        </w:rPr>
        <w:t>成果</w:t>
      </w:r>
      <w:r>
        <w:rPr>
          <w:rFonts w:hint="eastAsia"/>
          <w:color w:val="000000"/>
          <w:sz w:val="24"/>
        </w:rPr>
        <w:t>，以及有关</w:t>
      </w:r>
      <w:r>
        <w:rPr>
          <w:color w:val="000000"/>
          <w:sz w:val="24"/>
        </w:rPr>
        <w:t>技术经济指标</w:t>
      </w:r>
      <w:r>
        <w:rPr>
          <w:rFonts w:hint="eastAsia"/>
          <w:color w:val="000000"/>
          <w:sz w:val="24"/>
        </w:rPr>
        <w:t>。</w:t>
      </w:r>
    </w:p>
    <w:p>
      <w:pPr>
        <w:spacing w:line="360" w:lineRule="auto"/>
        <w:jc w:val="center"/>
        <w:rPr>
          <w:rFonts w:ascii="Arial Unicode MS" w:hAnsi="Arial Unicode MS" w:eastAsia="Arial Unicode MS"/>
          <w:color w:val="000000"/>
          <w:sz w:val="24"/>
        </w:rPr>
      </w:pPr>
      <w:r>
        <w:rPr>
          <w:rFonts w:hint="eastAsia" w:ascii="宋体"/>
          <w:b/>
          <w:bCs/>
          <w:color w:val="000000"/>
          <w:sz w:val="24"/>
        </w:rPr>
        <w:t>考试要求</w:t>
      </w:r>
    </w:p>
    <w:p>
      <w:pPr>
        <w:spacing w:line="360" w:lineRule="auto"/>
        <w:ind w:firstLine="482" w:firstLineChars="200"/>
        <w:rPr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</w:t>
      </w:r>
      <w:r>
        <w:rPr>
          <w:rFonts w:hint="eastAsia"/>
          <w:b/>
          <w:bCs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各种类型城市地段的</w:t>
      </w:r>
      <w:r>
        <w:rPr>
          <w:color w:val="000000"/>
          <w:sz w:val="24"/>
        </w:rPr>
        <w:t>设计</w:t>
      </w:r>
      <w:r>
        <w:rPr>
          <w:rFonts w:hint="eastAsia"/>
          <w:color w:val="000000"/>
          <w:sz w:val="24"/>
        </w:rPr>
        <w:t>方法，绘图表达技巧。</w:t>
      </w:r>
    </w:p>
    <w:p>
      <w:pPr>
        <w:spacing w:line="360" w:lineRule="auto"/>
        <w:ind w:firstLine="482" w:firstLineChars="200"/>
        <w:rPr>
          <w:rFonts w:hint="eastAsia"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熟悉：</w:t>
      </w:r>
      <w:r>
        <w:rPr>
          <w:rFonts w:hint="eastAsia"/>
          <w:color w:val="000000"/>
          <w:sz w:val="24"/>
        </w:rPr>
        <w:t>城市问题分析方法。</w:t>
      </w:r>
    </w:p>
    <w:p>
      <w:pPr>
        <w:rPr>
          <w:rFonts w:hint="eastAsia" w:ascii="宋体" w:hAnsi="宋体"/>
          <w:color w:val="000000"/>
          <w:sz w:val="24"/>
          <w:szCs w:val="27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Shell Dlg">
    <w:altName w:val="Microsoft Sans Serif"/>
    <w:panose1 w:val="020B0604020202020204"/>
    <w:charset w:val="00"/>
    <w:family w:val="swiss"/>
    <w:pitch w:val="default"/>
    <w:sig w:usb0="E5002EFF" w:usb1="C000605B" w:usb2="00000029" w:usb3="00000000" w:csb0="0001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lang/>
      </w:rPr>
      <w:t>1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B9"/>
    <w:rsid w:val="00052B1B"/>
    <w:rsid w:val="000C76EC"/>
    <w:rsid w:val="000D7342"/>
    <w:rsid w:val="0013002E"/>
    <w:rsid w:val="00143DDE"/>
    <w:rsid w:val="00222228"/>
    <w:rsid w:val="002309B9"/>
    <w:rsid w:val="00242C5F"/>
    <w:rsid w:val="0026092D"/>
    <w:rsid w:val="00313966"/>
    <w:rsid w:val="0032136B"/>
    <w:rsid w:val="00337B8D"/>
    <w:rsid w:val="00383E6B"/>
    <w:rsid w:val="003B780F"/>
    <w:rsid w:val="004066B9"/>
    <w:rsid w:val="00423493"/>
    <w:rsid w:val="00483BB1"/>
    <w:rsid w:val="0054497E"/>
    <w:rsid w:val="0065356A"/>
    <w:rsid w:val="006966E4"/>
    <w:rsid w:val="006B5A67"/>
    <w:rsid w:val="006E648A"/>
    <w:rsid w:val="006F27CF"/>
    <w:rsid w:val="00772668"/>
    <w:rsid w:val="00787200"/>
    <w:rsid w:val="007D2FC4"/>
    <w:rsid w:val="008D0EE2"/>
    <w:rsid w:val="00903E0B"/>
    <w:rsid w:val="009C79DF"/>
    <w:rsid w:val="009E5D33"/>
    <w:rsid w:val="00A1231C"/>
    <w:rsid w:val="00A44E60"/>
    <w:rsid w:val="00A45102"/>
    <w:rsid w:val="00A87B22"/>
    <w:rsid w:val="00AC2628"/>
    <w:rsid w:val="00AD5640"/>
    <w:rsid w:val="00AD652A"/>
    <w:rsid w:val="00BF1845"/>
    <w:rsid w:val="00C27036"/>
    <w:rsid w:val="00C6685B"/>
    <w:rsid w:val="00CC0ACD"/>
    <w:rsid w:val="00D16DAA"/>
    <w:rsid w:val="00DA46BB"/>
    <w:rsid w:val="00E871BB"/>
    <w:rsid w:val="00E9737A"/>
    <w:rsid w:val="00EA3335"/>
    <w:rsid w:val="00EF355F"/>
    <w:rsid w:val="00F10ECD"/>
    <w:rsid w:val="00F93FF1"/>
    <w:rsid w:val="3DA16890"/>
    <w:rsid w:val="6B0746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Arial Unicode MS" w:hAnsi="Arial Unicode MS" w:eastAsia="Arial Unicode MS"/>
      <w:b/>
      <w:bCs/>
      <w:color w:val="000000"/>
      <w:kern w:val="36"/>
      <w:sz w:val="48"/>
      <w:szCs w:val="48"/>
    </w:rPr>
  </w:style>
  <w:style w:type="paragraph" w:styleId="3">
    <w:name w:val="heading 3"/>
    <w:basedOn w:val="1"/>
    <w:qFormat/>
    <w:uiPriority w:val="0"/>
    <w:pPr>
      <w:widowControl/>
      <w:snapToGrid w:val="0"/>
      <w:spacing w:line="288" w:lineRule="auto"/>
      <w:ind w:firstLine="211" w:firstLineChars="100"/>
      <w:jc w:val="left"/>
      <w:outlineLvl w:val="2"/>
    </w:pPr>
    <w:rPr>
      <w:rFonts w:ascii="宋体" w:hAnsi="宋体"/>
      <w:b/>
      <w:color w:val="000000"/>
      <w:kern w:val="0"/>
      <w:szCs w:val="27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color w:val="000000"/>
      <w:kern w:val="0"/>
      <w:sz w:val="20"/>
      <w:szCs w:val="20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HKZJZ</Company>
  <Pages>1</Pages>
  <Words>110</Words>
  <Characters>627</Characters>
  <Lines>5</Lines>
  <Paragraphs>1</Paragraphs>
  <TotalTime>0</TotalTime>
  <ScaleCrop>false</ScaleCrop>
  <LinksUpToDate>false</LinksUpToDate>
  <CharactersWithSpaces>736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2015-10-29T07:30:00Z</dcterms:created>
  <dc:creator>Common</dc:creator>
  <cp:lastModifiedBy>Administrator</cp:lastModifiedBy>
  <dcterms:modified xsi:type="dcterms:W3CDTF">2021-10-11T03:58:22Z</dcterms:modified>
  <dc:title>083201食品科学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