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ind w:right="0"/>
        <w:rPr>
          <w:b/>
          <w:bCs/>
        </w:rPr>
      </w:pPr>
      <w:bookmarkStart w:id="0" w:name="_GoBack"/>
      <w:bookmarkEnd w:id="0"/>
      <w:r>
        <w:rPr>
          <w:b/>
          <w:bCs/>
        </w:rPr>
        <w:t>一、名词解释(共计30分，每题5分)</w:t>
      </w:r>
    </w:p>
    <w:p>
      <w:pPr>
        <w:adjustRightInd/>
        <w:snapToGrid/>
        <w:spacing w:line="360" w:lineRule="auto"/>
        <w:ind w:left="368" w:right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1.心理过程</w:t>
      </w:r>
    </w:p>
    <w:p>
      <w:pPr>
        <w:adjustRightInd/>
        <w:snapToGrid/>
        <w:spacing w:line="360" w:lineRule="auto"/>
        <w:ind w:left="368" w:right="0"/>
        <w:rPr>
          <w:sz w:val="21"/>
          <w:szCs w:val="21"/>
        </w:rPr>
      </w:pPr>
      <w:r>
        <w:rPr>
          <w:rFonts w:hint="eastAsia"/>
          <w:sz w:val="21"/>
          <w:szCs w:val="21"/>
        </w:rPr>
        <w:t>2.感觉编码</w:t>
      </w:r>
    </w:p>
    <w:p>
      <w:pPr>
        <w:adjustRightInd/>
        <w:snapToGrid/>
        <w:spacing w:line="360" w:lineRule="auto"/>
        <w:ind w:right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3.</w:t>
      </w:r>
      <w:r>
        <w:rPr>
          <w:rFonts w:hint="eastAsia"/>
          <w:bCs/>
          <w:sz w:val="21"/>
          <w:szCs w:val="21"/>
        </w:rPr>
        <w:t>关</w:t>
      </w:r>
      <w:r>
        <w:rPr>
          <w:bCs/>
          <w:sz w:val="21"/>
          <w:szCs w:val="21"/>
        </w:rPr>
        <w:t>键期</w:t>
      </w:r>
    </w:p>
    <w:p>
      <w:pPr>
        <w:adjustRightInd/>
        <w:snapToGrid/>
        <w:spacing w:line="360" w:lineRule="auto"/>
        <w:ind w:left="368" w:right="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4.</w:t>
      </w:r>
      <w:r>
        <w:rPr>
          <w:bCs/>
          <w:sz w:val="21"/>
          <w:szCs w:val="21"/>
        </w:rPr>
        <w:t>攻击行为</w:t>
      </w:r>
    </w:p>
    <w:p>
      <w:pPr>
        <w:adjustRightInd/>
        <w:snapToGrid/>
        <w:spacing w:line="360" w:lineRule="auto"/>
        <w:ind w:left="368" w:right="0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5.</w:t>
      </w:r>
      <w:r>
        <w:rPr>
          <w:bCs/>
          <w:sz w:val="21"/>
          <w:szCs w:val="21"/>
        </w:rPr>
        <w:t>去个体化</w:t>
      </w:r>
    </w:p>
    <w:p>
      <w:pPr>
        <w:adjustRightInd/>
        <w:snapToGrid/>
        <w:spacing w:line="360" w:lineRule="auto"/>
        <w:ind w:left="368" w:right="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6.</w:t>
      </w:r>
      <w:r>
        <w:rPr>
          <w:bCs/>
          <w:sz w:val="21"/>
          <w:szCs w:val="21"/>
        </w:rPr>
        <w:t>信息性社会影响</w:t>
      </w:r>
    </w:p>
    <w:p>
      <w:pPr>
        <w:adjustRightInd/>
        <w:snapToGrid/>
        <w:spacing w:line="360" w:lineRule="auto"/>
        <w:ind w:left="368" w:right="0"/>
        <w:rPr>
          <w:bCs/>
          <w:sz w:val="21"/>
          <w:szCs w:val="21"/>
        </w:rPr>
      </w:pPr>
    </w:p>
    <w:p>
      <w:pPr>
        <w:adjustRightInd/>
        <w:snapToGrid/>
        <w:spacing w:line="360" w:lineRule="auto"/>
        <w:ind w:right="0"/>
        <w:rPr>
          <w:b/>
          <w:bCs/>
        </w:rPr>
      </w:pPr>
      <w:r>
        <w:rPr>
          <w:b/>
          <w:bCs/>
        </w:rPr>
        <w:t>二、简答题(共计80分，每题10分)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1.割裂脑研究对揭示脑的功能有什么意义？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2.简介自上而下的加工并举例说明。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3.简介推理过程中发生错误的可能原因。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4.</w:t>
      </w:r>
      <w:r>
        <w:rPr>
          <w:sz w:val="21"/>
          <w:szCs w:val="21"/>
        </w:rPr>
        <w:t>简述科尔伯格的道德发展阶段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简述认知老化的主要理论。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6.</w:t>
      </w:r>
      <w:r>
        <w:rPr>
          <w:sz w:val="21"/>
          <w:szCs w:val="21"/>
        </w:rPr>
        <w:t>简述</w:t>
      </w:r>
      <w:r>
        <w:rPr>
          <w:rFonts w:hint="eastAsia"/>
          <w:sz w:val="21"/>
          <w:szCs w:val="21"/>
        </w:rPr>
        <w:t>团体</w:t>
      </w:r>
      <w:r>
        <w:rPr>
          <w:sz w:val="21"/>
          <w:szCs w:val="21"/>
        </w:rPr>
        <w:t>极化产生的原因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7.简述偏见和歧视的区别和联系。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8.</w:t>
      </w:r>
      <w:r>
        <w:rPr>
          <w:sz w:val="21"/>
          <w:szCs w:val="21"/>
        </w:rPr>
        <w:t>简述</w:t>
      </w:r>
      <w:r>
        <w:rPr>
          <w:rFonts w:hint="eastAsia"/>
          <w:sz w:val="21"/>
          <w:szCs w:val="21"/>
        </w:rPr>
        <w:t>确定常模团体的注意事项。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</w:p>
    <w:p>
      <w:pPr>
        <w:adjustRightInd/>
        <w:snapToGrid/>
        <w:spacing w:line="360" w:lineRule="auto"/>
        <w:ind w:left="0" w:right="0"/>
        <w:rPr>
          <w:b/>
          <w:bCs/>
        </w:rPr>
      </w:pPr>
      <w:r>
        <w:rPr>
          <w:b/>
          <w:bCs/>
        </w:rPr>
        <w:t>三、论述题(共计100分，每题20分)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1.试述动机与行为效率的关系，并举例说明。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2.试述情绪智力理论的基本观点。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3.试述认知风格的种类和特点。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.什么是单因素重复测量实验设计，该实验设计的基本特点包括哪些？</w:t>
      </w:r>
    </w:p>
    <w:p>
      <w:pPr>
        <w:spacing w:line="360" w:lineRule="auto"/>
        <w:ind w:firstLine="367" w:firstLineChars="1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5.结合说服的中心和外周路径模型，论述如何劝说他人节约粮食。</w:t>
      </w:r>
    </w:p>
    <w:p>
      <w:pPr>
        <w:spacing w:line="360" w:lineRule="auto"/>
        <w:ind w:firstLine="367" w:firstLineChars="175"/>
        <w:rPr>
          <w:sz w:val="21"/>
          <w:szCs w:val="21"/>
        </w:rPr>
      </w:pPr>
    </w:p>
    <w:p>
      <w:pPr>
        <w:adjustRightInd/>
        <w:snapToGrid/>
        <w:spacing w:line="360" w:lineRule="auto"/>
        <w:ind w:left="0" w:right="0"/>
        <w:rPr>
          <w:b/>
          <w:bCs/>
        </w:rPr>
      </w:pPr>
      <w:r>
        <w:rPr>
          <w:b/>
          <w:bCs/>
        </w:rPr>
        <w:t>四、案例分析题(共计60分，每题20分)</w:t>
      </w:r>
    </w:p>
    <w:p>
      <w:pPr>
        <w:spacing w:line="360" w:lineRule="auto"/>
        <w:ind w:left="58" w:leftChars="24"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1.在一项行为实验中，研究者假设，面部表情的分类任务中存在积极分类优势，即积极面部表情的分类反应时显著快于消极面部表情。另外，研究者也想考察面孔吸引力在其间的影响。实验过程中，给被试呈现60张面孔刺激，其中，30张快乐面孔，30张恐惧面孔；另外，面孔刺激中一半为高吸引力面孔，另一半为低吸引力面孔。实验要求被试对面部表情进行分类</w:t>
      </w:r>
      <w:r>
        <w:rPr>
          <w:rFonts w:hint="eastAsia"/>
          <w:sz w:val="21"/>
          <w:szCs w:val="21"/>
        </w:rPr>
        <w:t>，并记录反应时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实验</w:t>
      </w:r>
      <w:r>
        <w:rPr>
          <w:sz w:val="21"/>
          <w:szCs w:val="21"/>
        </w:rPr>
        <w:t>结果如下：</w:t>
      </w:r>
    </w:p>
    <w:p>
      <w:pPr>
        <w:spacing w:line="360" w:lineRule="auto"/>
        <w:ind w:left="58" w:leftChars="24" w:firstLine="420" w:firstLineChars="200"/>
        <w:rPr>
          <w:rFonts w:hint="eastAsia"/>
          <w:sz w:val="21"/>
          <w:szCs w:val="21"/>
        </w:rPr>
      </w:pP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</w:p>
    <w:tbl>
      <w:tblPr>
        <w:tblStyle w:val="8"/>
        <w:tblW w:w="5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801"/>
        <w:gridCol w:w="320"/>
        <w:gridCol w:w="1973"/>
      </w:tblGrid>
      <w:tr>
        <w:trPr>
          <w:trHeight w:val="189" w:hRule="atLeast"/>
          <w:jc w:val="center"/>
        </w:trPr>
        <w:tc>
          <w:tcPr>
            <w:tcW w:w="121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高吸引力</w:t>
            </w:r>
          </w:p>
        </w:tc>
        <w:tc>
          <w:tcPr>
            <w:tcW w:w="3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低吸引力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6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快乐</w:t>
            </w:r>
          </w:p>
        </w:tc>
        <w:tc>
          <w:tcPr>
            <w:tcW w:w="1801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550 ms</w:t>
            </w:r>
          </w:p>
        </w:tc>
        <w:tc>
          <w:tcPr>
            <w:tcW w:w="320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</w:p>
        </w:tc>
        <w:tc>
          <w:tcPr>
            <w:tcW w:w="1973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566 ms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6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恐惧</w:t>
            </w:r>
          </w:p>
        </w:tc>
        <w:tc>
          <w:tcPr>
            <w:tcW w:w="1801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576 ms</w:t>
            </w:r>
          </w:p>
        </w:tc>
        <w:tc>
          <w:tcPr>
            <w:tcW w:w="32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</w:p>
        </w:tc>
        <w:tc>
          <w:tcPr>
            <w:tcW w:w="1973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left="58" w:leftChars="24"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567 ms</w:t>
            </w:r>
          </w:p>
        </w:tc>
      </w:tr>
    </w:tbl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（1）</w:t>
      </w:r>
      <w:r>
        <w:rPr>
          <w:rFonts w:hint="eastAsia"/>
          <w:sz w:val="21"/>
          <w:szCs w:val="21"/>
        </w:rPr>
        <w:t>该实验的</w:t>
      </w:r>
      <w:r>
        <w:rPr>
          <w:sz w:val="21"/>
          <w:szCs w:val="21"/>
        </w:rPr>
        <w:t>自变量是什么？因变量是什么？是什么样的实验设计？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（2）该实验设计具有什么特点？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）用图的形式表示数据</w:t>
      </w:r>
      <w:r>
        <w:rPr>
          <w:rFonts w:hint="eastAsia"/>
          <w:sz w:val="21"/>
          <w:szCs w:val="21"/>
        </w:rPr>
        <w:t>，并</w:t>
      </w:r>
      <w:r>
        <w:rPr>
          <w:sz w:val="21"/>
          <w:szCs w:val="21"/>
        </w:rPr>
        <w:t>描述</w:t>
      </w:r>
      <w:r>
        <w:rPr>
          <w:rFonts w:hint="eastAsia"/>
          <w:sz w:val="21"/>
          <w:szCs w:val="21"/>
        </w:rPr>
        <w:t>实验</w:t>
      </w:r>
      <w:r>
        <w:rPr>
          <w:sz w:val="21"/>
          <w:szCs w:val="21"/>
        </w:rPr>
        <w:t>结果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left="58" w:leftChars="24"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（4）该研究可以得出什么样的结论？为什么？</w:t>
      </w:r>
    </w:p>
    <w:p>
      <w:pPr>
        <w:spacing w:line="360" w:lineRule="auto"/>
        <w:ind w:left="58" w:leftChars="24" w:firstLine="420" w:firstLineChars="200"/>
        <w:rPr>
          <w:sz w:val="21"/>
          <w:szCs w:val="21"/>
        </w:rPr>
      </w:pPr>
    </w:p>
    <w:p>
      <w:pPr>
        <w:adjustRightInd/>
        <w:snapToGrid/>
        <w:spacing w:line="360" w:lineRule="auto"/>
        <w:ind w:left="0" w:right="0" w:firstLine="480" w:firstLineChars="200"/>
        <w:rPr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  <w:sz w:val="21"/>
          <w:szCs w:val="21"/>
        </w:rPr>
        <w:t>某男，11岁，小学四年级学生。家长主诉孩子自一、二年级时，就感到语文学习困难，但还能及格，整体看学习成绩中等。三年级起，语文成绩明显下降，表现在错别字多，作业完成很差，朗诵课文不流畅，阅读理解欠佳。数学应用题列式计算有困难。到三年级期末语文成绩是不及格，数学也是刚刚及格。老师反映上课纪律尚可，听话。同学关系较好，无不良记录。进行韦氏智力测试，总智商中下等水平，操作智商良好，言语智商较低，处于中下等程度。</w:t>
      </w:r>
    </w:p>
    <w:p>
      <w:pPr>
        <w:adjustRightInd/>
        <w:snapToGrid/>
        <w:spacing w:line="360" w:lineRule="auto"/>
        <w:ind w:left="2" w:leftChars="1" w:right="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（1）结合案例阐述学习障碍的定义和分类。</w:t>
      </w:r>
    </w:p>
    <w:p>
      <w:pPr>
        <w:adjustRightInd/>
        <w:snapToGrid/>
        <w:spacing w:line="360" w:lineRule="auto"/>
        <w:ind w:left="0" w:right="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（2）结合案例分析学习障碍的诊断注意事项是什么？</w:t>
      </w:r>
    </w:p>
    <w:p>
      <w:pPr>
        <w:adjustRightInd/>
        <w:snapToGrid/>
        <w:spacing w:line="360" w:lineRule="auto"/>
        <w:ind w:left="2" w:leftChars="1" w:right="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（3）结合案例分析学习障碍的表现特征如何？</w:t>
      </w:r>
      <w:r>
        <w:rPr>
          <w:sz w:val="21"/>
          <w:szCs w:val="21"/>
        </w:rPr>
        <w:t xml:space="preserve"> </w:t>
      </w:r>
    </w:p>
    <w:p>
      <w:pPr>
        <w:adjustRightInd/>
        <w:snapToGrid/>
        <w:spacing w:line="360" w:lineRule="auto"/>
        <w:ind w:left="2" w:leftChars="1" w:right="0" w:firstLine="420" w:firstLineChars="200"/>
        <w:rPr>
          <w:sz w:val="21"/>
          <w:szCs w:val="21"/>
        </w:rPr>
      </w:pPr>
    </w:p>
    <w:p>
      <w:pPr>
        <w:adjustRightInd/>
        <w:snapToGrid/>
        <w:spacing w:line="360" w:lineRule="auto"/>
        <w:ind w:left="0" w:right="0" w:firstLine="480" w:firstLineChars="200"/>
        <w:rPr>
          <w:sz w:val="21"/>
          <w:szCs w:val="21"/>
        </w:rPr>
      </w:pPr>
      <w:r>
        <w:rPr>
          <w:rFonts w:hint="eastAsia"/>
        </w:rPr>
        <w:t>3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>国外研究者基于特质自尊二维模型编制了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自我喜爱感/自我能力感量表</w:t>
      </w:r>
      <w:r>
        <w:rPr>
          <w:rFonts w:hint="eastAsia"/>
          <w:sz w:val="21"/>
          <w:szCs w:val="21"/>
        </w:rPr>
        <w:t>”（</w:t>
      </w:r>
      <w:r>
        <w:rPr>
          <w:sz w:val="21"/>
          <w:szCs w:val="21"/>
        </w:rPr>
        <w:t>SLCS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，但该量表是否适用于测量中国人的自尊结构仍不清楚。为此，国内研究者以中国文化背景中的两组大学生为被试，分别采用探索性因素分析和验证性因素分析方法，重新考察了该量表的特性。主要研究结果如下：</w:t>
      </w:r>
    </w:p>
    <w:p>
      <w:pPr>
        <w:adjustRightInd/>
        <w:snapToGrid/>
        <w:spacing w:line="360" w:lineRule="auto"/>
        <w:ind w:left="0" w:right="0" w:firstLine="420" w:firstLineChars="200"/>
        <w:rPr>
          <w:sz w:val="21"/>
          <w:szCs w:val="21"/>
        </w:rPr>
      </w:pPr>
      <w:r>
        <w:rPr>
          <w:sz w:val="21"/>
          <w:szCs w:val="21"/>
        </w:rPr>
        <w:t>（1）基于量表调查数据，计算20个项目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五点自陈量表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上的平均数、标准差和通俗度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结果显示第1、9、18和20项的均值M ≥4，通俗度P≥0.80，且对20个项目进行初步的因素分析，结果显示第1、9、18、20 项的公共因素方差值≤0.2。</w:t>
      </w:r>
    </w:p>
    <w:p>
      <w:pPr>
        <w:adjustRightInd/>
        <w:snapToGrid/>
        <w:spacing w:line="360" w:lineRule="auto"/>
        <w:ind w:left="0" w:right="0" w:firstLine="420" w:firstLineChars="200"/>
        <w:rPr>
          <w:sz w:val="21"/>
          <w:szCs w:val="21"/>
        </w:rPr>
      </w:pPr>
      <w:r>
        <w:rPr>
          <w:sz w:val="21"/>
          <w:szCs w:val="21"/>
        </w:rPr>
        <w:t>（2）自我能力感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个人对自己是否具有能力、效能和控制感的总体感受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分量表内部一致性α=0.93，自我喜爱感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个人对自己社会价值的稳定的总体感受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分量表内部一致性α=0.90，总量表α=0.92; 所有项目与所属因素总分的相关系数在0.76～0.92之间</w:t>
      </w:r>
      <w:r>
        <w:rPr>
          <w:rFonts w:hint="eastAsia"/>
          <w:sz w:val="21"/>
          <w:szCs w:val="21"/>
        </w:rPr>
        <w:t>（</w:t>
      </w:r>
      <w:r>
        <w:rPr>
          <w:i/>
          <w:sz w:val="21"/>
          <w:szCs w:val="21"/>
        </w:rPr>
        <w:t>p</w:t>
      </w:r>
      <w:r>
        <w:rPr>
          <w:sz w:val="21"/>
          <w:szCs w:val="21"/>
        </w:rPr>
        <w:t>s &lt; 0.001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。</w:t>
      </w:r>
    </w:p>
    <w:p>
      <w:pPr>
        <w:adjustRightInd/>
        <w:snapToGrid/>
        <w:spacing w:line="360" w:lineRule="auto"/>
        <w:ind w:left="0" w:right="0" w:firstLine="420" w:firstLineChars="200"/>
        <w:rPr>
          <w:sz w:val="21"/>
          <w:szCs w:val="21"/>
        </w:rPr>
      </w:pPr>
      <w:r>
        <w:rPr>
          <w:sz w:val="21"/>
          <w:szCs w:val="21"/>
        </w:rPr>
        <w:t>（3）中国大学生自尊的自我喜爱感/自我能力感二维模型可以解释其总变异(方差)的63.97% ，其中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自我能力感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可解释总变异的47.46% ，而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自我喜爱感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的贡献率为16.52%。</w:t>
      </w:r>
    </w:p>
    <w:p>
      <w:pPr>
        <w:adjustRightInd/>
        <w:snapToGrid/>
        <w:spacing w:line="360" w:lineRule="auto"/>
        <w:ind w:left="0" w:right="0"/>
        <w:rPr>
          <w:sz w:val="21"/>
          <w:szCs w:val="21"/>
        </w:rPr>
      </w:pPr>
      <w:r>
        <w:rPr>
          <w:sz w:val="21"/>
          <w:szCs w:val="21"/>
        </w:rPr>
        <w:t>请根据上述资料，回答如下问题：</w:t>
      </w:r>
    </w:p>
    <w:p>
      <w:pPr>
        <w:adjustRightInd/>
        <w:snapToGrid/>
        <w:spacing w:line="360" w:lineRule="auto"/>
        <w:ind w:left="0" w:right="0" w:firstLine="315" w:firstLineChars="150"/>
        <w:rPr>
          <w:sz w:val="21"/>
          <w:szCs w:val="21"/>
        </w:rPr>
      </w:pPr>
      <w:r>
        <w:rPr>
          <w:rFonts w:hint="eastAsia"/>
          <w:sz w:val="21"/>
          <w:szCs w:val="21"/>
        </w:rPr>
        <w:t>A</w:t>
      </w:r>
      <w:r>
        <w:rPr>
          <w:sz w:val="21"/>
          <w:szCs w:val="21"/>
        </w:rPr>
        <w:t>.研究者报告通俗度及其初步因素分析的目的是什么？就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中报告的数据来说，你认为为什么要删除项目1、9、18和20？ </w:t>
      </w:r>
    </w:p>
    <w:p>
      <w:pPr>
        <w:adjustRightInd/>
        <w:snapToGrid/>
        <w:spacing w:line="360" w:lineRule="auto"/>
        <w:ind w:left="0" w:right="0" w:firstLine="315" w:firstLineChars="150"/>
        <w:rPr>
          <w:sz w:val="21"/>
          <w:szCs w:val="21"/>
        </w:rPr>
      </w:pPr>
      <w:r>
        <w:rPr>
          <w:rFonts w:hint="eastAsia"/>
          <w:sz w:val="21"/>
          <w:szCs w:val="21"/>
        </w:rPr>
        <w:t>B</w:t>
      </w:r>
      <w:r>
        <w:rPr>
          <w:sz w:val="21"/>
          <w:szCs w:val="21"/>
        </w:rPr>
        <w:t>.内部一致性α系数用于评估测量量表的什么特性？从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提供的数据中，你认为可以得出什么结论？ </w:t>
      </w:r>
    </w:p>
    <w:p>
      <w:pPr>
        <w:adjustRightInd/>
        <w:snapToGrid/>
        <w:spacing w:line="360" w:lineRule="auto"/>
        <w:ind w:left="0" w:right="0" w:firstLine="315" w:firstLine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C</w:t>
      </w:r>
      <w:r>
        <w:rPr>
          <w:sz w:val="21"/>
          <w:szCs w:val="21"/>
        </w:rPr>
        <w:t>.当研究者计算公共因子的方差贡献率时，研究者想要说明什么问题？从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提供的数据中，你认为可以得出哪些研究结论？ </w:t>
      </w:r>
    </w:p>
    <w:p>
      <w:pPr>
        <w:adjustRightInd/>
        <w:snapToGrid/>
        <w:spacing w:line="360" w:lineRule="auto"/>
        <w:ind w:left="0" w:right="0" w:firstLine="315" w:firstLineChars="150"/>
        <w:rPr>
          <w:sz w:val="21"/>
          <w:szCs w:val="21"/>
        </w:rPr>
      </w:pPr>
    </w:p>
    <w:p>
      <w:pPr>
        <w:adjustRightInd/>
        <w:snapToGrid/>
        <w:spacing w:line="360" w:lineRule="auto"/>
        <w:ind w:left="0" w:right="0"/>
        <w:rPr>
          <w:b/>
          <w:bCs/>
        </w:rPr>
      </w:pPr>
      <w:r>
        <w:rPr>
          <w:b/>
          <w:bCs/>
        </w:rPr>
        <w:t>五、综合论述题</w:t>
      </w:r>
      <w:r>
        <w:rPr>
          <w:rFonts w:hint="eastAsia"/>
          <w:b/>
          <w:bCs/>
        </w:rPr>
        <w:t>(</w:t>
      </w:r>
      <w:r>
        <w:rPr>
          <w:b/>
          <w:bCs/>
        </w:rPr>
        <w:t>30分</w:t>
      </w:r>
      <w:r>
        <w:rPr>
          <w:rFonts w:hint="eastAsia"/>
          <w:b/>
          <w:bCs/>
        </w:rPr>
        <w:t>)</w:t>
      </w:r>
    </w:p>
    <w:p>
      <w:pPr>
        <w:spacing w:line="360" w:lineRule="auto"/>
        <w:ind w:left="58" w:leftChars="24" w:firstLine="420" w:firstLineChars="200"/>
        <w:rPr>
          <w:rFonts w:hint="eastAsia"/>
          <w:bCs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.</w:t>
      </w:r>
      <w:r>
        <w:rPr>
          <w:bCs/>
          <w:sz w:val="21"/>
          <w:szCs w:val="21"/>
        </w:rPr>
        <w:t>在</w:t>
      </w:r>
      <w:r>
        <w:rPr>
          <w:rFonts w:hint="eastAsia"/>
          <w:bCs/>
          <w:sz w:val="21"/>
          <w:szCs w:val="21"/>
        </w:rPr>
        <w:t>一项</w:t>
      </w:r>
      <w:r>
        <w:rPr>
          <w:bCs/>
          <w:sz w:val="21"/>
          <w:szCs w:val="21"/>
        </w:rPr>
        <w:t>关于</w:t>
      </w:r>
      <w:r>
        <w:rPr>
          <w:rFonts w:hint="eastAsia"/>
          <w:bCs/>
          <w:sz w:val="21"/>
          <w:szCs w:val="21"/>
        </w:rPr>
        <w:t>场景的情绪效价（积极、消极和中性）和特质焦虑的人格因素对场景识别影响的研究中，</w:t>
      </w:r>
      <w:r>
        <w:rPr>
          <w:bCs/>
          <w:sz w:val="21"/>
          <w:szCs w:val="21"/>
        </w:rPr>
        <w:t>研究者</w:t>
      </w:r>
      <w:r>
        <w:rPr>
          <w:rFonts w:hint="eastAsia"/>
          <w:bCs/>
          <w:sz w:val="21"/>
          <w:szCs w:val="21"/>
        </w:rPr>
        <w:t>选取了40名被试参与实验，其中高特质焦虑被试20人，低特质焦虑被试20人。实验中要求被试对屏幕上呈现的积极、消极和中性场景图片进行识别。实验结束后，对实验数据进行分析，得出如下方差分析结果：</w:t>
      </w:r>
    </w:p>
    <w:tbl>
      <w:tblPr>
        <w:tblStyle w:val="8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544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变异来源         平方和       自由度          均方        </w:t>
            </w:r>
            <w:r>
              <w:rPr>
                <w:b/>
                <w:bCs/>
                <w:i/>
                <w:iCs/>
                <w:sz w:val="21"/>
                <w:szCs w:val="21"/>
              </w:rPr>
              <w:t>F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44" w:type="dxa"/>
            <w:noWrap w:val="0"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A(</w:t>
            </w:r>
            <w:r>
              <w:rPr>
                <w:rFonts w:hint="eastAsia"/>
                <w:sz w:val="21"/>
                <w:szCs w:val="21"/>
              </w:rPr>
              <w:t>特质焦虑</w:t>
            </w:r>
            <w:r>
              <w:rPr>
                <w:sz w:val="21"/>
                <w:szCs w:val="21"/>
              </w:rPr>
              <w:t xml:space="preserve">)  </w:t>
            </w:r>
            <w:r>
              <w:rPr>
                <w:rFonts w:hint="eastAsia"/>
                <w:sz w:val="21"/>
                <w:szCs w:val="21"/>
              </w:rPr>
              <w:t xml:space="preserve">      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① 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 ③         ⑧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Error</w:t>
            </w:r>
            <w:r>
              <w:rPr>
                <w:sz w:val="21"/>
                <w:szCs w:val="21"/>
              </w:rPr>
              <w:t xml:space="preserve">(A)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76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38</w:t>
            </w:r>
            <w:r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④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B(</w:t>
            </w:r>
            <w:r>
              <w:rPr>
                <w:rFonts w:hint="eastAsia"/>
                <w:sz w:val="21"/>
                <w:szCs w:val="21"/>
              </w:rPr>
              <w:t>场景情绪效价</w:t>
            </w:r>
            <w:r>
              <w:rPr>
                <w:sz w:val="21"/>
                <w:szCs w:val="21"/>
              </w:rPr>
              <w:t xml:space="preserve">)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② 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⑤         ⑨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A×B  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78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2    </w:t>
            </w:r>
            <w:r>
              <w:rPr>
                <w:rFonts w:hint="eastAsia"/>
                <w:sz w:val="21"/>
                <w:szCs w:val="21"/>
              </w:rPr>
              <w:t xml:space="preserve">          ⑥         ⑩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Error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15.2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 76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⑦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总变异  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354.2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   119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bCs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F</w:t>
      </w:r>
      <w:r>
        <w:rPr>
          <w:rFonts w:hint="eastAsia"/>
          <w:bCs/>
          <w:i/>
          <w:iCs/>
          <w:sz w:val="21"/>
          <w:szCs w:val="21"/>
          <w:vertAlign w:val="subscript"/>
        </w:rPr>
        <w:t>.</w:t>
      </w:r>
      <w:r>
        <w:rPr>
          <w:rFonts w:hint="eastAsia"/>
          <w:bCs/>
          <w:iCs/>
          <w:sz w:val="21"/>
          <w:szCs w:val="21"/>
          <w:vertAlign w:val="subscript"/>
        </w:rPr>
        <w:t xml:space="preserve">01 </w:t>
      </w:r>
      <w:r>
        <w:rPr>
          <w:rFonts w:hint="eastAsia"/>
          <w:bCs/>
          <w:iCs/>
          <w:sz w:val="21"/>
          <w:szCs w:val="21"/>
        </w:rPr>
        <w:t xml:space="preserve">(1, 30) = 9.18 </w:t>
      </w:r>
      <w:r>
        <w:rPr>
          <w:rFonts w:hint="eastAsia"/>
          <w:bCs/>
          <w:i/>
          <w:iCs/>
          <w:sz w:val="21"/>
          <w:szCs w:val="21"/>
        </w:rPr>
        <w:t xml:space="preserve">    </w:t>
      </w:r>
      <w:r>
        <w:rPr>
          <w:bCs/>
          <w:i/>
          <w:iCs/>
          <w:sz w:val="21"/>
          <w:szCs w:val="21"/>
        </w:rPr>
        <w:t>F</w:t>
      </w:r>
      <w:r>
        <w:rPr>
          <w:rFonts w:hint="eastAsia"/>
          <w:bCs/>
          <w:i/>
          <w:iCs/>
          <w:sz w:val="21"/>
          <w:szCs w:val="21"/>
        </w:rPr>
        <w:t>.</w:t>
      </w:r>
      <w:r>
        <w:rPr>
          <w:rFonts w:hint="eastAsia"/>
          <w:bCs/>
          <w:iCs/>
          <w:sz w:val="21"/>
          <w:szCs w:val="21"/>
          <w:vertAlign w:val="subscript"/>
        </w:rPr>
        <w:t xml:space="preserve">01 </w:t>
      </w:r>
      <w:r>
        <w:rPr>
          <w:rFonts w:hint="eastAsia"/>
          <w:bCs/>
          <w:iCs/>
          <w:sz w:val="21"/>
          <w:szCs w:val="21"/>
        </w:rPr>
        <w:t>(2, 60) = 5.79</w:t>
      </w:r>
    </w:p>
    <w:p>
      <w:pPr>
        <w:spacing w:line="360" w:lineRule="auto"/>
        <w:ind w:left="58" w:leftChars="24" w:firstLine="210" w:firstLineChars="100"/>
        <w:rPr>
          <w:rFonts w:hint="eastAsia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（1）该实验的自变量是哪些？采用了何种实验设计？</w:t>
      </w:r>
    </w:p>
    <w:p>
      <w:pPr>
        <w:spacing w:line="360" w:lineRule="auto"/>
        <w:ind w:left="58" w:leftChars="24" w:firstLine="210" w:firstLineChars="100"/>
        <w:rPr>
          <w:bCs/>
          <w:iCs/>
          <w:sz w:val="21"/>
          <w:szCs w:val="21"/>
        </w:rPr>
      </w:pPr>
      <w:r>
        <w:rPr>
          <w:rFonts w:hint="eastAsia"/>
          <w:bCs/>
          <w:sz w:val="21"/>
          <w:szCs w:val="21"/>
        </w:rPr>
        <w:t>（2）请依据以上信息计算方差分析表中缺失的自由度、均方和</w:t>
      </w:r>
      <w:r>
        <w:rPr>
          <w:bCs/>
          <w:i/>
          <w:iCs/>
          <w:sz w:val="21"/>
          <w:szCs w:val="21"/>
        </w:rPr>
        <w:t>F</w:t>
      </w:r>
      <w:r>
        <w:rPr>
          <w:rFonts w:hint="eastAsia"/>
          <w:bCs/>
          <w:iCs/>
          <w:sz w:val="21"/>
          <w:szCs w:val="21"/>
        </w:rPr>
        <w:t>值（①—⑩）。</w:t>
      </w:r>
    </w:p>
    <w:p>
      <w:pPr>
        <w:spacing w:line="360" w:lineRule="auto"/>
        <w:ind w:left="58" w:leftChars="24" w:firstLine="210" w:firstLineChars="100"/>
        <w:rPr>
          <w:bCs/>
          <w:iCs/>
          <w:sz w:val="21"/>
          <w:szCs w:val="21"/>
        </w:rPr>
      </w:pPr>
      <w:r>
        <w:rPr>
          <w:rFonts w:hint="eastAsia"/>
          <w:bCs/>
          <w:iCs/>
          <w:sz w:val="21"/>
          <w:szCs w:val="21"/>
        </w:rPr>
        <w:t>（3）对所得结果进行总结和分析。</w:t>
      </w:r>
    </w:p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3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</w:t>
    </w:r>
    <w:r>
      <w:rPr>
        <w:rFonts w:ascii="宋体" w:hAnsi="宋体"/>
        <w:b/>
        <w:sz w:val="32"/>
        <w:szCs w:val="32"/>
        <w:u w:val="single"/>
      </w:rPr>
      <w:t>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A卷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347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300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心理学专业综合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13661"/>
    <w:rsid w:val="0001656C"/>
    <w:rsid w:val="00024D51"/>
    <w:rsid w:val="00024EA2"/>
    <w:rsid w:val="00073B24"/>
    <w:rsid w:val="000767FE"/>
    <w:rsid w:val="00083659"/>
    <w:rsid w:val="000854E4"/>
    <w:rsid w:val="00090595"/>
    <w:rsid w:val="000906D8"/>
    <w:rsid w:val="000E185E"/>
    <w:rsid w:val="001313EC"/>
    <w:rsid w:val="00162417"/>
    <w:rsid w:val="0016657D"/>
    <w:rsid w:val="00174B21"/>
    <w:rsid w:val="001757FD"/>
    <w:rsid w:val="001913D8"/>
    <w:rsid w:val="001B6A47"/>
    <w:rsid w:val="001F0B56"/>
    <w:rsid w:val="002222A5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66B2C"/>
    <w:rsid w:val="003E0545"/>
    <w:rsid w:val="003E1D98"/>
    <w:rsid w:val="003E76BF"/>
    <w:rsid w:val="00433002"/>
    <w:rsid w:val="00481E62"/>
    <w:rsid w:val="00497896"/>
    <w:rsid w:val="004A603F"/>
    <w:rsid w:val="004A6A0B"/>
    <w:rsid w:val="004C5B7E"/>
    <w:rsid w:val="005452EE"/>
    <w:rsid w:val="00551528"/>
    <w:rsid w:val="00576F90"/>
    <w:rsid w:val="005C341E"/>
    <w:rsid w:val="005C7FD7"/>
    <w:rsid w:val="005E7478"/>
    <w:rsid w:val="006B331D"/>
    <w:rsid w:val="00737D98"/>
    <w:rsid w:val="007564EC"/>
    <w:rsid w:val="00780F83"/>
    <w:rsid w:val="007A6308"/>
    <w:rsid w:val="007B7430"/>
    <w:rsid w:val="007D63B3"/>
    <w:rsid w:val="007F2B17"/>
    <w:rsid w:val="007F5751"/>
    <w:rsid w:val="00805CBB"/>
    <w:rsid w:val="008074B7"/>
    <w:rsid w:val="00811337"/>
    <w:rsid w:val="0083357C"/>
    <w:rsid w:val="00855B44"/>
    <w:rsid w:val="008A780C"/>
    <w:rsid w:val="008B0D2E"/>
    <w:rsid w:val="008B1277"/>
    <w:rsid w:val="008C10DD"/>
    <w:rsid w:val="00920506"/>
    <w:rsid w:val="0095446F"/>
    <w:rsid w:val="00954AB9"/>
    <w:rsid w:val="00973AEA"/>
    <w:rsid w:val="009844BB"/>
    <w:rsid w:val="009D440A"/>
    <w:rsid w:val="009E5E20"/>
    <w:rsid w:val="009F7CFF"/>
    <w:rsid w:val="00A1123E"/>
    <w:rsid w:val="00A75B40"/>
    <w:rsid w:val="00A869FB"/>
    <w:rsid w:val="00AA3A44"/>
    <w:rsid w:val="00AC6C70"/>
    <w:rsid w:val="00AD05A2"/>
    <w:rsid w:val="00AD516C"/>
    <w:rsid w:val="00AE26A4"/>
    <w:rsid w:val="00B01ADB"/>
    <w:rsid w:val="00B20902"/>
    <w:rsid w:val="00B36632"/>
    <w:rsid w:val="00B431D9"/>
    <w:rsid w:val="00B46596"/>
    <w:rsid w:val="00B7105C"/>
    <w:rsid w:val="00B80F2D"/>
    <w:rsid w:val="00BE2DCA"/>
    <w:rsid w:val="00C0328A"/>
    <w:rsid w:val="00C13FD5"/>
    <w:rsid w:val="00C361BF"/>
    <w:rsid w:val="00C5040C"/>
    <w:rsid w:val="00C63103"/>
    <w:rsid w:val="00C75DA7"/>
    <w:rsid w:val="00C94B86"/>
    <w:rsid w:val="00CB2AF0"/>
    <w:rsid w:val="00CB3E4C"/>
    <w:rsid w:val="00CC6D7B"/>
    <w:rsid w:val="00CD5402"/>
    <w:rsid w:val="00CF3C6C"/>
    <w:rsid w:val="00D04C7B"/>
    <w:rsid w:val="00D173E6"/>
    <w:rsid w:val="00D21829"/>
    <w:rsid w:val="00D41882"/>
    <w:rsid w:val="00D70713"/>
    <w:rsid w:val="00D70B5F"/>
    <w:rsid w:val="00DA7E79"/>
    <w:rsid w:val="00DE133B"/>
    <w:rsid w:val="00DF1818"/>
    <w:rsid w:val="00E13DF8"/>
    <w:rsid w:val="00E317D0"/>
    <w:rsid w:val="00E37045"/>
    <w:rsid w:val="00E61A52"/>
    <w:rsid w:val="00E70AF2"/>
    <w:rsid w:val="00E95C62"/>
    <w:rsid w:val="00EB04E6"/>
    <w:rsid w:val="00ED1719"/>
    <w:rsid w:val="00EE5258"/>
    <w:rsid w:val="00F46B29"/>
    <w:rsid w:val="00F56403"/>
    <w:rsid w:val="00F576F9"/>
    <w:rsid w:val="00F6194E"/>
    <w:rsid w:val="00F955C7"/>
    <w:rsid w:val="00FA2866"/>
    <w:rsid w:val="00FA29B5"/>
    <w:rsid w:val="00FC39BD"/>
    <w:rsid w:val="00FD2595"/>
    <w:rsid w:val="00FD6F85"/>
    <w:rsid w:val="00FF0FE4"/>
    <w:rsid w:val="0DFE55F9"/>
    <w:rsid w:val="10603D3F"/>
    <w:rsid w:val="1D2D3896"/>
    <w:rsid w:val="2DB944C9"/>
    <w:rsid w:val="2DFB66FE"/>
    <w:rsid w:val="3A8136AA"/>
    <w:rsid w:val="3FE17EEF"/>
    <w:rsid w:val="40C0637E"/>
    <w:rsid w:val="40CD0E8B"/>
    <w:rsid w:val="40D016EC"/>
    <w:rsid w:val="483758F6"/>
    <w:rsid w:val="4A3A58B2"/>
    <w:rsid w:val="50286C1A"/>
    <w:rsid w:val="56F252C4"/>
    <w:rsid w:val="5774063D"/>
    <w:rsid w:val="681175B9"/>
    <w:rsid w:val="7EB36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table" w:styleId="9">
    <w:name w:val="Table Grid"/>
    <w:basedOn w:val="8"/>
    <w:qFormat/>
    <w:uiPriority w:val="39"/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dxa"/>
    </w:trPr>
  </w:style>
  <w:style w:type="paragraph" w:customStyle="1" w:styleId="11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2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3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paragraph" w:customStyle="1" w:styleId="14">
    <w:name w:val="图形"/>
    <w:basedOn w:val="1"/>
    <w:next w:val="15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5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6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paragraph" w:customStyle="1" w:styleId="17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8">
    <w:name w:val="题目条件"/>
    <w:basedOn w:val="1"/>
    <w:next w:val="11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9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character" w:customStyle="1" w:styleId="20">
    <w:name w:val="批注框文本 Char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3</Pages>
  <Words>342</Words>
  <Characters>1955</Characters>
  <Lines>16</Lines>
  <Paragraphs>4</Paragraphs>
  <TotalTime>0</TotalTime>
  <ScaleCrop>false</ScaleCrop>
  <LinksUpToDate>false</LinksUpToDate>
  <CharactersWithSpaces>2293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2021-10-12T01:24:44Z</dcterms:modified>
  <dc:title>宁波大学研究生入学试卷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