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_GB2312" w:hAnsi="宋体" w:eastAsia="仿宋_GB2312"/>
          <w:b/>
          <w:sz w:val="32"/>
          <w:szCs w:val="32"/>
        </w:rPr>
      </w:pPr>
      <w:bookmarkStart w:id="0" w:name="_GoBack"/>
      <w:bookmarkEnd w:id="0"/>
      <w:r>
        <w:rPr>
          <w:rFonts w:hint="eastAsia" w:ascii="仿宋_GB2312" w:hAnsi="宋体" w:eastAsia="仿宋_GB2312"/>
          <w:b/>
          <w:sz w:val="32"/>
          <w:szCs w:val="32"/>
        </w:rPr>
        <w:t>沈阳工程学院</w:t>
      </w:r>
    </w:p>
    <w:p>
      <w:pPr>
        <w:jc w:val="center"/>
        <w:rPr>
          <w:rFonts w:hint="eastAsia" w:ascii="仿宋_GB2312" w:hAnsi="宋体" w:eastAsia="仿宋_GB2312"/>
          <w:b/>
          <w:sz w:val="32"/>
          <w:szCs w:val="32"/>
        </w:rPr>
      </w:pPr>
      <w:r>
        <w:rPr>
          <w:rFonts w:hint="eastAsia" w:ascii="仿宋_GB2312" w:hAnsi="宋体" w:eastAsia="仿宋_GB2312"/>
          <w:b/>
          <w:sz w:val="32"/>
          <w:szCs w:val="32"/>
        </w:rPr>
        <w:t>2022年硕士研究生入学考试复试同等学力加试大纲</w:t>
      </w:r>
    </w:p>
    <w:p>
      <w:pPr>
        <w:jc w:val="center"/>
        <w:rPr>
          <w:rFonts w:hint="eastAsia" w:ascii="仿宋_GB2312" w:hAnsi="宋体" w:eastAsia="仿宋_GB2312"/>
          <w:b/>
          <w:sz w:val="32"/>
          <w:szCs w:val="32"/>
        </w:rPr>
      </w:pPr>
    </w:p>
    <w:p>
      <w:pPr>
        <w:spacing w:line="360" w:lineRule="auto"/>
        <w:rPr>
          <w:b/>
          <w:color w:val="000000"/>
          <w:sz w:val="24"/>
        </w:rPr>
      </w:pPr>
      <w:r>
        <w:rPr>
          <w:b/>
          <w:color w:val="000000"/>
          <w:sz w:val="24"/>
        </w:rPr>
        <w:t>科目名称：</w:t>
      </w:r>
      <w:r>
        <w:rPr>
          <w:rFonts w:hint="eastAsia"/>
          <w:b/>
          <w:color w:val="000000"/>
          <w:sz w:val="24"/>
        </w:rPr>
        <w:t>电厂热力设备及运行</w:t>
      </w:r>
    </w:p>
    <w:p>
      <w:pPr>
        <w:spacing w:line="360" w:lineRule="auto"/>
        <w:rPr>
          <w:b/>
          <w:color w:val="000000"/>
          <w:sz w:val="24"/>
        </w:rPr>
      </w:pPr>
      <w:r>
        <w:rPr>
          <w:b/>
          <w:color w:val="000000"/>
          <w:sz w:val="24"/>
        </w:rPr>
        <w:t>适用专业：</w:t>
      </w:r>
      <w:r>
        <w:rPr>
          <w:rFonts w:hint="eastAsia" w:ascii="黑体" w:hAnsi="黑体" w:eastAsia="黑体"/>
          <w:b/>
          <w:color w:val="000000"/>
          <w:sz w:val="24"/>
        </w:rPr>
        <w:t>动力工程</w:t>
      </w:r>
    </w:p>
    <w:p>
      <w:pPr>
        <w:spacing w:line="360" w:lineRule="auto"/>
        <w:rPr>
          <w:b/>
          <w:color w:val="000000"/>
          <w:sz w:val="24"/>
        </w:rPr>
      </w:pPr>
      <w:r>
        <w:rPr>
          <w:b/>
          <w:color w:val="000000"/>
          <w:sz w:val="24"/>
        </w:rPr>
        <w:t>考试方式：笔试</w:t>
      </w:r>
    </w:p>
    <w:p>
      <w:pPr>
        <w:spacing w:line="360" w:lineRule="auto"/>
        <w:rPr>
          <w:b/>
          <w:color w:val="000000"/>
          <w:sz w:val="24"/>
        </w:rPr>
      </w:pPr>
      <w:r>
        <w:rPr>
          <w:b/>
          <w:color w:val="000000"/>
          <w:sz w:val="24"/>
        </w:rPr>
        <w:t>总　　分：1</w:t>
      </w:r>
      <w:r>
        <w:rPr>
          <w:rFonts w:hint="eastAsia"/>
          <w:b/>
          <w:color w:val="000000"/>
          <w:sz w:val="24"/>
        </w:rPr>
        <w:t>00</w:t>
      </w:r>
      <w:r>
        <w:rPr>
          <w:b/>
          <w:color w:val="000000"/>
          <w:sz w:val="24"/>
        </w:rPr>
        <w:t>分</w:t>
      </w:r>
    </w:p>
    <w:p>
      <w:pPr>
        <w:spacing w:line="360" w:lineRule="auto"/>
        <w:rPr>
          <w:rFonts w:hint="eastAsia"/>
          <w:b/>
          <w:color w:val="000000"/>
          <w:sz w:val="24"/>
        </w:rPr>
      </w:pPr>
      <w:r>
        <w:rPr>
          <w:b/>
          <w:color w:val="000000"/>
          <w:sz w:val="24"/>
        </w:rPr>
        <w:t>考试范围：</w:t>
      </w:r>
    </w:p>
    <w:p>
      <w:pPr>
        <w:spacing w:line="360" w:lineRule="auto"/>
        <w:ind w:firstLine="562" w:firstLineChars="200"/>
        <w:rPr>
          <w:rFonts w:hint="eastAsia" w:ascii="宋体" w:hAnsi="宋体"/>
          <w:b/>
          <w:bCs/>
          <w:sz w:val="28"/>
          <w:szCs w:val="28"/>
        </w:rPr>
      </w:pPr>
      <w:r>
        <w:rPr>
          <w:rFonts w:hint="eastAsia" w:ascii="宋体" w:hAnsi="宋体"/>
          <w:b/>
          <w:bCs/>
          <w:sz w:val="28"/>
          <w:szCs w:val="28"/>
        </w:rPr>
        <w:t>一、汽轮机部分（50分）</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1.汽轮机的发展概况及其在国民经济中的作用，汽轮机的分类及型号；蒸汽在汽轮机各种级内的流动过程和能量转换规律；蒸汽在汽轮机级内能量转换过程中各种损失和各种级效率的物理概念及减少损失的措施；汽轮机级的热力设计原则和方法；扭叶片级和叶栅的气动特性。</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2.多级汽轮机的工作特点，汽轮机的各种损失和减少损失的措施；汽轮机的轴封原理和轴封系统；多级汽轮机轴向推力的组成及平衡措施和提高单排汽口凝汽式汽轮机极限功率的方法。</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3.汽轮机级和级组的变工况特性；不同配汽方式对定压运行机组经济性和安全性（或灵活性）的影响，滑压运行与定压运行对机组运行的影响；初终参数对汽轮机工作的影响。</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4.汽轮机凝汽设备的工作原理、任务和类型；影响凝汽器真空的因素和凝汽器工作压力的确定方法；凝汽器的变工况特性；多压凝汽器。</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5.汽轮机本体各组成部件的作用、类型、结构特点及工作原理；汽缸的支撑及滑销系统组成；隔板的结构特点；汽封结构；叶片的结构以及叶片受力和振动特性；转子临界转速概念；轴承的结构及工作原理；油膜振荡等概念，盘车的作用及工作原理。</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6.汽轮机调节系统的任务；功频电液调节系统及其工作原理；数字电液调节系统的工作原理和主要部件名称、作用；汽轮机运行对调节系统静态特性的要求；调节系统动态特性的影响因素；汽轮机的各种保护及其必要性；背压式和抽汽式汽轮机的调节概念。</w:t>
      </w:r>
    </w:p>
    <w:p>
      <w:pPr>
        <w:spacing w:line="360" w:lineRule="auto"/>
        <w:ind w:firstLine="562" w:firstLineChars="200"/>
        <w:rPr>
          <w:rFonts w:hint="eastAsia" w:ascii="宋体" w:hAnsi="宋体"/>
          <w:b/>
          <w:bCs/>
          <w:sz w:val="28"/>
          <w:szCs w:val="28"/>
        </w:rPr>
      </w:pPr>
      <w:r>
        <w:rPr>
          <w:rFonts w:hint="eastAsia" w:ascii="宋体" w:hAnsi="宋体"/>
          <w:b/>
          <w:bCs/>
          <w:sz w:val="28"/>
          <w:szCs w:val="28"/>
        </w:rPr>
        <w:t>二、锅炉部分（50分）</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1.火力发电厂生产过程，热力系统组成及主要设备的基本作用，锅炉机组的作用、工作过程、系统及组成，锅炉容量、参数及其分类，锅炉分类、型号、安全和经济性指标。</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2.电站锅炉燃料特点，煤的元素分析和工业分析组成、特性，煤的成分计算基准，煤的发热量及相关概念、煤的分类，煤的主要燃烧特性。</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3.燃料空气量、过量空气系数、烟气量、烟气和空气焓的概念，空气量、烟气量和过量空气系数的基本计算方法。</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4.锅炉机组热平衡概念及组成，热效率，热损失组成及各个损失含义，影响热损失的因素分析，燃料消耗量。</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5.煤粉细度、煤的可磨性系数和磨损指数，磨煤机型式、工作原理、结构，制粉系统型式及组成，给煤机、煤粉分离器等辅助设备工作原理及作用。</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6.燃烧设备的组成，直流煤粉燃烧器型式、结构及特点，旋流煤粉燃烧器型式、结构及特点，煤粉气流着火过程，低NOX煤粉燃烧技术，锅炉炉膛结构，切圆燃烧、L型火焰燃烧技术的特点。</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7.受热面工质吸热量的分配特点，汽包炉和直流锅炉蒸发受热面系统组成，蒸发受热面主要设备的结构和作用。</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8.过热器和再热器作用、工作特点，过热器和再热器的型式、结构，汽温特性、影响汽温变化的因素，过热汽温和再热汽温的调节方法。热偏差概念、影响因素及减轻措施。</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9.尾部受热面的型式和工作特点，省煤器的作用与工作特点，省煤器启动保护，空气预热器的型式、工作原理及常见问题。</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10.沸腾传热恶化原因及减轻措施，自然循环原理与基本概念，强制流动锅炉的水动力多值性、蒸发管脉动机理及防止措施。</w:t>
      </w:r>
    </w:p>
    <w:p>
      <w:pPr>
        <w:adjustRightInd w:val="0"/>
        <w:snapToGrid w:val="0"/>
        <w:spacing w:line="360" w:lineRule="auto"/>
        <w:ind w:firstLine="560" w:firstLineChars="200"/>
        <w:jc w:val="left"/>
        <w:rPr>
          <w:rFonts w:hint="eastAsia" w:ascii="宋体" w:hAnsi="宋体"/>
          <w:color w:val="000000"/>
          <w:sz w:val="28"/>
          <w:szCs w:val="28"/>
        </w:rPr>
      </w:pPr>
      <w:r>
        <w:rPr>
          <w:rFonts w:hint="eastAsia" w:ascii="宋体" w:hAnsi="宋体"/>
          <w:color w:val="000000"/>
          <w:sz w:val="28"/>
          <w:szCs w:val="28"/>
        </w:rPr>
        <w:t>11.蒸汽品质概念，蒸汽污染原因，保证水质和蒸汽品质的方法，汽包内部装置的作用、种类和基本工作原理。</w:t>
      </w:r>
    </w:p>
    <w:p>
      <w:pPr>
        <w:rPr>
          <w:rFonts w:hint="eastAsia"/>
          <w:b/>
          <w:sz w:val="28"/>
          <w:szCs w:val="28"/>
        </w:rPr>
      </w:pPr>
      <w:r>
        <w:rPr>
          <w:rFonts w:hint="eastAsia"/>
          <w:b/>
          <w:sz w:val="28"/>
          <w:szCs w:val="28"/>
        </w:rPr>
        <w:t>[参考书目]</w:t>
      </w:r>
    </w:p>
    <w:p>
      <w:pPr>
        <w:rPr>
          <w:rFonts w:hint="eastAsia"/>
          <w:b/>
          <w:sz w:val="28"/>
          <w:szCs w:val="28"/>
        </w:rPr>
      </w:pPr>
      <w:r>
        <w:rPr>
          <w:rFonts w:hint="eastAsia"/>
          <w:b/>
          <w:sz w:val="28"/>
          <w:szCs w:val="28"/>
        </w:rPr>
        <w:t>（一）汽轮机部分：肖增弘主编，《汽轮机设备及系统》，中国电力出版社，第一版，2008。</w:t>
      </w:r>
    </w:p>
    <w:p>
      <w:pPr>
        <w:rPr>
          <w:rFonts w:hint="eastAsia"/>
          <w:b/>
          <w:sz w:val="28"/>
          <w:szCs w:val="28"/>
        </w:rPr>
      </w:pPr>
      <w:r>
        <w:rPr>
          <w:rFonts w:hint="eastAsia"/>
          <w:b/>
          <w:sz w:val="28"/>
          <w:szCs w:val="28"/>
        </w:rPr>
        <w:t>（二）锅炉部分：周强泰编，《锅炉设备及系统》，中国电力出版社，第三版，2013。</w:t>
      </w:r>
    </w:p>
    <w:p>
      <w:pPr>
        <w:adjustRightInd w:val="0"/>
        <w:snapToGrid w:val="0"/>
        <w:spacing w:line="360" w:lineRule="auto"/>
        <w:ind w:firstLine="560" w:firstLineChars="200"/>
        <w:jc w:val="left"/>
        <w:rPr>
          <w:rFonts w:hint="eastAsia" w:ascii="宋体" w:hAnsi="宋体"/>
          <w:color w:val="000000"/>
          <w:sz w:val="28"/>
          <w:szCs w:val="28"/>
        </w:rPr>
      </w:pPr>
    </w:p>
    <w:sectPr>
      <w:footerReference r:id="rId3" w:type="default"/>
      <w:footerReference r:id="rId4" w:type="even"/>
      <w:pgSz w:w="11906" w:h="16838"/>
      <w:pgMar w:top="1361"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4067"/>
    <w:rsid w:val="000B24D6"/>
    <w:rsid w:val="00153A18"/>
    <w:rsid w:val="00156239"/>
    <w:rsid w:val="00175287"/>
    <w:rsid w:val="001E7419"/>
    <w:rsid w:val="00227792"/>
    <w:rsid w:val="00286EE8"/>
    <w:rsid w:val="00345A89"/>
    <w:rsid w:val="003522C1"/>
    <w:rsid w:val="00365B89"/>
    <w:rsid w:val="003B4889"/>
    <w:rsid w:val="003B549D"/>
    <w:rsid w:val="003D5B8D"/>
    <w:rsid w:val="003E3326"/>
    <w:rsid w:val="004072CD"/>
    <w:rsid w:val="00415B52"/>
    <w:rsid w:val="004164F4"/>
    <w:rsid w:val="004531CD"/>
    <w:rsid w:val="00507797"/>
    <w:rsid w:val="00532FDA"/>
    <w:rsid w:val="0053389A"/>
    <w:rsid w:val="00547C38"/>
    <w:rsid w:val="005A3318"/>
    <w:rsid w:val="005A654D"/>
    <w:rsid w:val="005D6BB9"/>
    <w:rsid w:val="00607210"/>
    <w:rsid w:val="00617F75"/>
    <w:rsid w:val="00653255"/>
    <w:rsid w:val="006605AA"/>
    <w:rsid w:val="00670CB1"/>
    <w:rsid w:val="006A738E"/>
    <w:rsid w:val="006D18C9"/>
    <w:rsid w:val="006D36C1"/>
    <w:rsid w:val="007016B3"/>
    <w:rsid w:val="007B5B6C"/>
    <w:rsid w:val="007E0161"/>
    <w:rsid w:val="008F13E9"/>
    <w:rsid w:val="008F388F"/>
    <w:rsid w:val="0091660B"/>
    <w:rsid w:val="009555CC"/>
    <w:rsid w:val="009679F3"/>
    <w:rsid w:val="009C03C5"/>
    <w:rsid w:val="00A2021F"/>
    <w:rsid w:val="00A359C4"/>
    <w:rsid w:val="00A45843"/>
    <w:rsid w:val="00A519E3"/>
    <w:rsid w:val="00A608A9"/>
    <w:rsid w:val="00A84737"/>
    <w:rsid w:val="00A9560E"/>
    <w:rsid w:val="00AB76AF"/>
    <w:rsid w:val="00BF555D"/>
    <w:rsid w:val="00C44A33"/>
    <w:rsid w:val="00C46D35"/>
    <w:rsid w:val="00C55BBC"/>
    <w:rsid w:val="00C926F2"/>
    <w:rsid w:val="00D01D52"/>
    <w:rsid w:val="00DD3CA3"/>
    <w:rsid w:val="00DE1C71"/>
    <w:rsid w:val="00E1558E"/>
    <w:rsid w:val="00E522FF"/>
    <w:rsid w:val="00F90248"/>
    <w:rsid w:val="00FA2E6A"/>
    <w:rsid w:val="00FB6618"/>
    <w:rsid w:val="00FD61D3"/>
    <w:rsid w:val="00FE4C7A"/>
    <w:rsid w:val="186D09DC"/>
    <w:rsid w:val="1F464F3F"/>
    <w:rsid w:val="3A0060C9"/>
    <w:rsid w:val="591473C1"/>
    <w:rsid w:val="658A10E8"/>
    <w:rsid w:val="6B1A74FA"/>
    <w:rsid w:val="708713C2"/>
    <w:rsid w:val="7F5310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60" w:beforeLines="0" w:after="120" w:afterLines="0" w:line="480" w:lineRule="exact"/>
      <w:jc w:val="center"/>
      <w:outlineLvl w:val="0"/>
    </w:pPr>
    <w:rPr>
      <w:rFonts w:ascii="Arial" w:hAnsi="Arial" w:eastAsia="华文中宋" w:cs="Arial"/>
      <w:b/>
      <w:bCs/>
      <w:kern w:val="44"/>
      <w:sz w:val="36"/>
      <w:szCs w:val="30"/>
    </w:rPr>
  </w:style>
  <w:style w:type="paragraph" w:styleId="3">
    <w:name w:val="heading 2"/>
    <w:basedOn w:val="1"/>
    <w:next w:val="1"/>
    <w:qFormat/>
    <w:uiPriority w:val="0"/>
    <w:pPr>
      <w:keepNext/>
      <w:keepLines/>
      <w:spacing w:before="360" w:beforeLines="0" w:after="120" w:afterLines="0" w:line="360" w:lineRule="exact"/>
      <w:ind w:firstLine="538" w:firstLineChars="168"/>
      <w:outlineLvl w:val="1"/>
    </w:pPr>
    <w:rPr>
      <w:rFonts w:ascii="Arial" w:hAnsi="Arial" w:eastAsia="华文中宋" w:cs="Arial"/>
      <w:b/>
      <w:bCs/>
      <w:sz w:val="32"/>
    </w:rPr>
  </w:style>
  <w:style w:type="paragraph" w:styleId="4">
    <w:name w:val="heading 3"/>
    <w:basedOn w:val="1"/>
    <w:next w:val="1"/>
    <w:qFormat/>
    <w:uiPriority w:val="0"/>
    <w:pPr>
      <w:keepNext/>
      <w:keepLines/>
      <w:spacing w:before="120" w:beforeLines="0"/>
      <w:ind w:firstLine="602" w:firstLineChars="200"/>
      <w:outlineLvl w:val="2"/>
    </w:pPr>
    <w:rPr>
      <w:rFonts w:ascii="Arial" w:hAnsi="Arial" w:cs="Arial"/>
      <w:b/>
      <w:bCs/>
      <w:spacing w:val="10"/>
      <w:sz w:val="28"/>
      <w:szCs w:val="28"/>
    </w:rPr>
  </w:style>
  <w:style w:type="paragraph" w:styleId="5">
    <w:name w:val="heading 4"/>
    <w:basedOn w:val="1"/>
    <w:next w:val="1"/>
    <w:qFormat/>
    <w:uiPriority w:val="0"/>
    <w:pPr>
      <w:keepNext/>
      <w:keepLines/>
      <w:spacing w:before="60" w:beforeLines="0"/>
      <w:ind w:firstLine="482" w:firstLineChars="200"/>
      <w:outlineLvl w:val="3"/>
    </w:pPr>
    <w:rPr>
      <w:rFonts w:ascii="宋体" w:hAnsi="宋体"/>
      <w:b/>
      <w:bCs/>
      <w:kern w:val="0"/>
      <w:sz w:val="24"/>
    </w:rPr>
  </w:style>
  <w:style w:type="character" w:default="1" w:styleId="21">
    <w:name w:val="Default Paragraph Font"/>
    <w:uiPriority w:val="0"/>
  </w:style>
  <w:style w:type="table" w:default="1" w:styleId="20">
    <w:name w:val="Normal Table"/>
    <w:semiHidden/>
    <w:uiPriority w:val="0"/>
    <w:tblPr>
      <w:tblStyle w:val="20"/>
      <w:tblCellMar>
        <w:top w:w="0" w:type="dxa"/>
        <w:left w:w="108" w:type="dxa"/>
        <w:bottom w:w="0" w:type="dxa"/>
        <w:right w:w="108" w:type="dxa"/>
      </w:tblCellMar>
    </w:tblPr>
  </w:style>
  <w:style w:type="paragraph" w:styleId="6">
    <w:name w:val="Document Map"/>
    <w:basedOn w:val="1"/>
    <w:uiPriority w:val="0"/>
    <w:pPr>
      <w:shd w:val="clear" w:color="auto" w:fill="000080"/>
    </w:pPr>
  </w:style>
  <w:style w:type="paragraph" w:styleId="7">
    <w:name w:val="annotation text"/>
    <w:basedOn w:val="1"/>
    <w:uiPriority w:val="0"/>
    <w:pPr>
      <w:jc w:val="left"/>
    </w:pPr>
  </w:style>
  <w:style w:type="paragraph" w:styleId="8">
    <w:name w:val="Body Text"/>
    <w:basedOn w:val="1"/>
    <w:uiPriority w:val="0"/>
    <w:pPr>
      <w:spacing w:after="120" w:afterLines="0"/>
    </w:pPr>
  </w:style>
  <w:style w:type="paragraph" w:styleId="9">
    <w:name w:val="Body Text Indent"/>
    <w:basedOn w:val="1"/>
    <w:uiPriority w:val="0"/>
    <w:pPr>
      <w:spacing w:after="120" w:afterLines="0"/>
      <w:ind w:left="420" w:leftChars="200"/>
    </w:pPr>
  </w:style>
  <w:style w:type="paragraph" w:styleId="10">
    <w:name w:val="Plain Text"/>
    <w:basedOn w:val="1"/>
    <w:uiPriority w:val="0"/>
    <w:rPr>
      <w:rFonts w:ascii="宋体" w:hAnsi="Courier New" w:cs="Courier New"/>
      <w:szCs w:val="21"/>
    </w:rPr>
  </w:style>
  <w:style w:type="paragraph" w:styleId="11">
    <w:name w:val="Body Text Indent 2"/>
    <w:basedOn w:val="1"/>
    <w:uiPriority w:val="0"/>
    <w:pPr>
      <w:spacing w:after="120" w:afterLines="0" w:line="480" w:lineRule="auto"/>
      <w:ind w:left="420" w:leftChars="200"/>
    </w:pPr>
  </w:style>
  <w:style w:type="paragraph" w:styleId="12">
    <w:name w:val="Balloon Text"/>
    <w:basedOn w:val="1"/>
    <w:uiPriority w:val="0"/>
    <w:rPr>
      <w:sz w:val="18"/>
      <w:szCs w:val="18"/>
    </w:rPr>
  </w:style>
  <w:style w:type="paragraph" w:styleId="13">
    <w:name w:val="footer"/>
    <w:basedOn w:val="1"/>
    <w:uiPriority w:val="0"/>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uiPriority w:val="0"/>
    <w:pPr>
      <w:spacing w:after="120" w:afterLines="0"/>
      <w:ind w:left="420" w:leftChars="200"/>
    </w:pPr>
    <w:rPr>
      <w:sz w:val="16"/>
      <w:szCs w:val="16"/>
    </w:rPr>
  </w:style>
  <w:style w:type="paragraph" w:styleId="16">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17">
    <w:name w:val="annotation subject"/>
    <w:basedOn w:val="7"/>
    <w:next w:val="7"/>
    <w:uiPriority w:val="0"/>
    <w:rPr>
      <w:b/>
      <w:bCs/>
    </w:rPr>
  </w:style>
  <w:style w:type="paragraph" w:styleId="18">
    <w:name w:val="Body Text First Indent"/>
    <w:basedOn w:val="8"/>
    <w:uiPriority w:val="0"/>
    <w:pPr>
      <w:spacing w:before="80" w:beforeLines="0" w:after="0" w:afterLines="0"/>
      <w:ind w:firstLine="480" w:firstLineChars="200"/>
    </w:pPr>
    <w:rPr>
      <w:sz w:val="24"/>
    </w:rPr>
  </w:style>
  <w:style w:type="paragraph" w:styleId="19">
    <w:name w:val="Body Text First Indent 2"/>
    <w:basedOn w:val="9"/>
    <w:uiPriority w:val="0"/>
    <w:pPr>
      <w:spacing w:after="0" w:afterLines="0"/>
      <w:ind w:left="0" w:leftChars="0" w:firstLine="480" w:firstLineChars="200"/>
    </w:pPr>
    <w:rPr>
      <w:sz w:val="24"/>
    </w:rPr>
  </w:style>
  <w:style w:type="character" w:styleId="22">
    <w:name w:val="page number"/>
    <w:basedOn w:val="21"/>
    <w:uiPriority w:val="0"/>
  </w:style>
  <w:style w:type="character" w:styleId="23">
    <w:name w:val="annotation reference"/>
    <w:uiPriority w:val="0"/>
    <w:rPr>
      <w:sz w:val="21"/>
      <w:szCs w:val="21"/>
    </w:rPr>
  </w:style>
  <w:style w:type="paragraph" w:customStyle="1" w:styleId="24">
    <w:name w:val=" Char Char Char Char"/>
    <w:basedOn w:val="1"/>
    <w:uiPriority w:val="0"/>
  </w:style>
  <w:style w:type="paragraph" w:customStyle="1" w:styleId="25">
    <w:name w:val="Char Char Char Char"/>
    <w:basedOn w:val="1"/>
    <w:uiPriority w:val="0"/>
    <w:pPr>
      <w:widowControl/>
      <w:spacing w:after="160" w:line="240" w:lineRule="exact"/>
      <w:jc w:val="left"/>
    </w:pPr>
    <w:rPr>
      <w:rFonts w:ascii="Arial" w:hAnsi="Arial" w:eastAsia="Times New Roman" w:cs="Verdana"/>
      <w:b/>
      <w:kern w:val="0"/>
      <w:sz w:val="24"/>
      <w:lang w:eastAsia="en-US"/>
    </w:rPr>
  </w:style>
  <w:style w:type="character" w:customStyle="1" w:styleId="26">
    <w:name w:val="javascript"/>
    <w:basedOn w:val="2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ompany>
  <Pages>3</Pages>
  <Words>218</Words>
  <Characters>1246</Characters>
  <Lines>10</Lines>
  <Paragraphs>2</Paragraphs>
  <TotalTime>0</TotalTime>
  <ScaleCrop>false</ScaleCrop>
  <LinksUpToDate>false</LinksUpToDate>
  <CharactersWithSpaces>1462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2019-03-30T08:51:00Z</dcterms:created>
  <dc:creator>l</dc:creator>
  <cp:lastModifiedBy>vertesyuan</cp:lastModifiedBy>
  <dcterms:modified xsi:type="dcterms:W3CDTF">2021-10-22T08:41:59Z</dcterms:modified>
  <dc:title>2005年城市规划与设计学科</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