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50" w:firstLineChars="50"/>
        <w:jc w:val="center"/>
        <w:rPr>
          <w:rFonts w:ascii="黑体" w:eastAsia="黑体"/>
          <w:sz w:val="30"/>
          <w:szCs w:val="30"/>
        </w:rPr>
      </w:pPr>
      <w:bookmarkStart w:id="0" w:name="_GoBack"/>
      <w:bookmarkEnd w:id="0"/>
      <w:r>
        <w:rPr>
          <w:rFonts w:hint="eastAsia" w:ascii="黑体" w:eastAsia="黑体" w:cs="黑体"/>
          <w:sz w:val="30"/>
          <w:szCs w:val="30"/>
        </w:rPr>
        <w:t>《环境微生物学》考试大纲</w:t>
      </w:r>
    </w:p>
    <w:p>
      <w:pPr>
        <w:pStyle w:val="17"/>
        <w:spacing w:line="360" w:lineRule="auto"/>
        <w:ind w:firstLine="0" w:firstLineChars="0"/>
        <w:jc w:val="left"/>
        <w:rPr>
          <w:rFonts w:ascii="黑体" w:eastAsia="黑体"/>
          <w:sz w:val="24"/>
          <w:szCs w:val="24"/>
        </w:rPr>
      </w:pPr>
      <w:r>
        <w:rPr>
          <w:rFonts w:hint="eastAsia" w:ascii="黑体" w:eastAsia="黑体" w:cs="黑体"/>
          <w:sz w:val="24"/>
          <w:szCs w:val="24"/>
        </w:rPr>
        <w:t>一、考试性质</w:t>
      </w:r>
    </w:p>
    <w:p>
      <w:pPr>
        <w:pStyle w:val="17"/>
        <w:spacing w:line="360" w:lineRule="auto"/>
        <w:ind w:firstLine="480"/>
        <w:jc w:val="left"/>
        <w:rPr>
          <w:rFonts w:ascii="宋体" w:hAnsi="宋体" w:cs="宋体"/>
          <w:color w:val="333333"/>
          <w:kern w:val="0"/>
          <w:sz w:val="24"/>
          <w:szCs w:val="24"/>
        </w:rPr>
      </w:pPr>
      <w:r>
        <w:rPr>
          <w:rFonts w:hint="eastAsia" w:ascii="宋体" w:hAnsi="宋体" w:cs="宋体"/>
          <w:color w:val="333333"/>
          <w:kern w:val="0"/>
          <w:sz w:val="24"/>
          <w:szCs w:val="24"/>
        </w:rPr>
        <w:t>环境微生物学是生态学、生物技术等专业必修的一门专业基础课</w:t>
      </w:r>
      <w:r>
        <w:rPr>
          <w:rFonts w:ascii="宋体" w:hAnsi="宋体" w:cs="宋体"/>
          <w:color w:val="333333"/>
          <w:kern w:val="0"/>
          <w:sz w:val="24"/>
          <w:szCs w:val="24"/>
        </w:rPr>
        <w:t>。《</w:t>
      </w:r>
      <w:r>
        <w:rPr>
          <w:rFonts w:hint="eastAsia" w:ascii="宋体" w:hAnsi="宋体" w:cs="宋体"/>
          <w:color w:val="333333"/>
          <w:kern w:val="0"/>
          <w:sz w:val="24"/>
          <w:szCs w:val="24"/>
        </w:rPr>
        <w:t>环境微生物学</w:t>
      </w:r>
      <w:r>
        <w:rPr>
          <w:rFonts w:ascii="宋体" w:hAnsi="宋体" w:cs="宋体"/>
          <w:color w:val="333333"/>
          <w:kern w:val="0"/>
          <w:sz w:val="24"/>
          <w:szCs w:val="24"/>
        </w:rPr>
        <w:t>》</w:t>
      </w:r>
      <w:r>
        <w:rPr>
          <w:rFonts w:hint="eastAsia" w:ascii="宋体" w:hAnsi="宋体" w:cs="宋体"/>
          <w:color w:val="333333"/>
          <w:kern w:val="0"/>
          <w:sz w:val="24"/>
          <w:szCs w:val="24"/>
        </w:rPr>
        <w:t>是高等院校为招收生态学及相关专业的硕士研究生而设置的具有选拔功能的水平考试。其目的是测试考生对环境微生物学内容的掌握程度和应用相关知识解决问题的能力。</w:t>
      </w:r>
    </w:p>
    <w:p>
      <w:pPr>
        <w:pStyle w:val="17"/>
        <w:spacing w:line="360" w:lineRule="auto"/>
        <w:ind w:firstLine="0" w:firstLineChars="0"/>
        <w:jc w:val="left"/>
        <w:rPr>
          <w:rFonts w:hint="eastAsia" w:ascii="黑体" w:eastAsia="黑体" w:cs="黑体"/>
          <w:sz w:val="24"/>
          <w:szCs w:val="24"/>
        </w:rPr>
      </w:pPr>
      <w:r>
        <w:rPr>
          <w:rFonts w:hint="eastAsia" w:ascii="黑体" w:eastAsia="黑体" w:cs="黑体"/>
          <w:sz w:val="24"/>
          <w:szCs w:val="24"/>
        </w:rPr>
        <w:t>二、考查目标</w:t>
      </w:r>
    </w:p>
    <w:p>
      <w:pPr>
        <w:pStyle w:val="17"/>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1、全面系统地掌握环境微生物学的基本概念、理论和主要研究方法；</w:t>
      </w:r>
    </w:p>
    <w:p>
      <w:pPr>
        <w:pStyle w:val="17"/>
        <w:spacing w:line="360" w:lineRule="auto"/>
        <w:ind w:firstLine="480"/>
        <w:jc w:val="left"/>
        <w:rPr>
          <w:rFonts w:ascii="宋体" w:hAnsi="宋体" w:cs="宋体"/>
          <w:color w:val="333333"/>
          <w:kern w:val="0"/>
          <w:sz w:val="24"/>
          <w:szCs w:val="24"/>
        </w:rPr>
      </w:pPr>
      <w:r>
        <w:rPr>
          <w:rFonts w:ascii="宋体" w:hAnsi="宋体" w:cs="宋体"/>
          <w:color w:val="333333"/>
          <w:kern w:val="0"/>
          <w:sz w:val="24"/>
          <w:szCs w:val="24"/>
        </w:rPr>
        <w:t>2</w:t>
      </w:r>
      <w:r>
        <w:rPr>
          <w:rFonts w:hint="eastAsia" w:ascii="宋体" w:hAnsi="宋体" w:cs="宋体"/>
          <w:color w:val="333333"/>
          <w:kern w:val="0"/>
          <w:sz w:val="24"/>
          <w:szCs w:val="24"/>
        </w:rPr>
        <w:t>、了解环境微生物学的主要发展趋势和前沿领域；</w:t>
      </w:r>
    </w:p>
    <w:p>
      <w:pPr>
        <w:pStyle w:val="17"/>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3、具有应用环境微生物学知识提出、分析和解决生态环境污染问题的能力。</w:t>
      </w:r>
    </w:p>
    <w:p>
      <w:pPr>
        <w:pStyle w:val="17"/>
        <w:spacing w:line="360" w:lineRule="auto"/>
        <w:ind w:firstLine="0" w:firstLineChars="0"/>
        <w:jc w:val="left"/>
        <w:rPr>
          <w:rFonts w:hint="eastAsia" w:ascii="黑体" w:eastAsia="黑体" w:cs="黑体"/>
          <w:sz w:val="24"/>
          <w:szCs w:val="24"/>
        </w:rPr>
      </w:pPr>
      <w:r>
        <w:rPr>
          <w:rFonts w:hint="eastAsia" w:ascii="黑体" w:eastAsia="黑体" w:cs="黑体"/>
          <w:sz w:val="24"/>
          <w:szCs w:val="24"/>
        </w:rPr>
        <w:t>三、考试形式与试卷结构</w:t>
      </w:r>
    </w:p>
    <w:p>
      <w:pPr>
        <w:pStyle w:val="17"/>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1、试卷满分及考试时间</w:t>
      </w:r>
    </w:p>
    <w:p>
      <w:pPr>
        <w:pStyle w:val="17"/>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试卷满分为150分，考试时间180分钟。</w:t>
      </w:r>
    </w:p>
    <w:p>
      <w:pPr>
        <w:pStyle w:val="17"/>
        <w:spacing w:line="360" w:lineRule="auto"/>
        <w:ind w:firstLine="480"/>
        <w:jc w:val="left"/>
        <w:rPr>
          <w:rFonts w:hint="eastAsia" w:ascii="宋体" w:hAnsi="宋体" w:cs="宋体"/>
          <w:color w:val="333333"/>
          <w:kern w:val="0"/>
          <w:sz w:val="24"/>
          <w:szCs w:val="24"/>
        </w:rPr>
      </w:pPr>
      <w:r>
        <w:rPr>
          <w:rFonts w:hint="eastAsia" w:ascii="宋体" w:hAnsi="宋体" w:cs="宋体"/>
          <w:color w:val="333333"/>
          <w:kern w:val="0"/>
          <w:sz w:val="24"/>
          <w:szCs w:val="24"/>
        </w:rPr>
        <w:t>2、试卷结构</w:t>
      </w:r>
    </w:p>
    <w:p>
      <w:pPr>
        <w:pStyle w:val="17"/>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A、B卷共三个题型：名词解释题、简答题、论述题。</w:t>
      </w:r>
    </w:p>
    <w:p>
      <w:pPr>
        <w:pStyle w:val="17"/>
        <w:spacing w:line="360" w:lineRule="auto"/>
        <w:ind w:firstLine="480"/>
        <w:jc w:val="left"/>
        <w:rPr>
          <w:rFonts w:ascii="宋体" w:hAnsi="宋体" w:cs="宋体"/>
          <w:color w:val="333333"/>
          <w:kern w:val="0"/>
          <w:sz w:val="24"/>
          <w:szCs w:val="24"/>
        </w:rPr>
      </w:pPr>
      <w:r>
        <w:rPr>
          <w:rFonts w:hint="eastAsia" w:ascii="宋体" w:hAnsi="宋体" w:cs="宋体"/>
          <w:color w:val="333333"/>
          <w:kern w:val="0"/>
          <w:sz w:val="24"/>
          <w:szCs w:val="24"/>
        </w:rPr>
        <w:t>3、答题方式</w:t>
      </w:r>
    </w:p>
    <w:p>
      <w:pPr>
        <w:pStyle w:val="17"/>
        <w:spacing w:line="360" w:lineRule="auto"/>
        <w:ind w:firstLine="960" w:firstLineChars="400"/>
        <w:jc w:val="left"/>
        <w:rPr>
          <w:rFonts w:hint="eastAsia" w:ascii="黑体" w:eastAsia="黑体" w:cs="黑体"/>
          <w:sz w:val="24"/>
          <w:szCs w:val="24"/>
        </w:rPr>
      </w:pPr>
      <w:r>
        <w:rPr>
          <w:rFonts w:hint="eastAsia" w:ascii="宋体" w:hAnsi="宋体" w:cs="宋体"/>
          <w:color w:val="333333"/>
          <w:kern w:val="0"/>
          <w:sz w:val="24"/>
          <w:szCs w:val="24"/>
        </w:rPr>
        <w:t>闭卷、笔试。</w:t>
      </w:r>
    </w:p>
    <w:p>
      <w:pPr>
        <w:pStyle w:val="17"/>
        <w:spacing w:line="360" w:lineRule="auto"/>
        <w:ind w:firstLine="0" w:firstLineChars="0"/>
        <w:jc w:val="left"/>
        <w:rPr>
          <w:rFonts w:hint="eastAsia" w:ascii="黑体" w:eastAsia="黑体" w:cs="黑体"/>
          <w:sz w:val="24"/>
          <w:szCs w:val="24"/>
        </w:rPr>
      </w:pPr>
      <w:r>
        <w:rPr>
          <w:rFonts w:hint="eastAsia" w:ascii="黑体" w:eastAsia="黑体" w:cs="黑体"/>
          <w:sz w:val="24"/>
          <w:szCs w:val="24"/>
        </w:rPr>
        <w:t>四、考查内容</w:t>
      </w:r>
    </w:p>
    <w:p>
      <w:pPr>
        <w:spacing w:line="360" w:lineRule="auto"/>
        <w:ind w:firstLine="482" w:firstLineChars="200"/>
        <w:rPr>
          <w:rFonts w:hint="eastAsia" w:ascii="宋体" w:hAnsi="宋体" w:cs="宋体"/>
          <w:b/>
          <w:kern w:val="0"/>
          <w:sz w:val="24"/>
          <w:szCs w:val="24"/>
        </w:rPr>
      </w:pPr>
      <w:r>
        <w:rPr>
          <w:b/>
          <w:bCs/>
          <w:sz w:val="24"/>
          <w:szCs w:val="24"/>
        </w:rPr>
        <w:t>绪</w:t>
      </w:r>
      <w:r>
        <w:rPr>
          <w:rFonts w:ascii="宋体" w:hAnsi="宋体" w:cs="宋体"/>
          <w:b/>
          <w:kern w:val="0"/>
          <w:sz w:val="24"/>
          <w:szCs w:val="24"/>
        </w:rPr>
        <w:t>论</w:t>
      </w:r>
    </w:p>
    <w:p>
      <w:pPr>
        <w:pStyle w:val="17"/>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、微生物学的发展历史及其关键人物</w:t>
      </w:r>
    </w:p>
    <w:p>
      <w:pPr>
        <w:pStyle w:val="17"/>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2</w:t>
      </w:r>
      <w:r>
        <w:rPr>
          <w:rFonts w:hint="eastAsia" w:ascii="宋体" w:hAnsi="宋体" w:cs="宋体"/>
          <w:color w:val="333333"/>
          <w:kern w:val="0"/>
          <w:sz w:val="24"/>
          <w:szCs w:val="24"/>
        </w:rPr>
        <w:t>、微生物学的五大共性</w:t>
      </w:r>
    </w:p>
    <w:p>
      <w:pPr>
        <w:pStyle w:val="17"/>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、微生物学的应用领域</w:t>
      </w:r>
    </w:p>
    <w:p>
      <w:pPr>
        <w:spacing w:line="360" w:lineRule="auto"/>
        <w:ind w:firstLine="482" w:firstLineChars="200"/>
        <w:rPr>
          <w:rFonts w:hint="eastAsia"/>
          <w:sz w:val="24"/>
          <w:szCs w:val="24"/>
        </w:rPr>
      </w:pPr>
      <w:r>
        <w:rPr>
          <w:b/>
          <w:bCs/>
          <w:sz w:val="24"/>
          <w:szCs w:val="24"/>
        </w:rPr>
        <w:t>第</w:t>
      </w:r>
      <w:r>
        <w:rPr>
          <w:rFonts w:hint="eastAsia"/>
          <w:b/>
          <w:bCs/>
          <w:sz w:val="24"/>
          <w:szCs w:val="24"/>
        </w:rPr>
        <w:t>一部分</w:t>
      </w:r>
      <w:r>
        <w:rPr>
          <w:b/>
          <w:bCs/>
          <w:sz w:val="24"/>
          <w:szCs w:val="24"/>
        </w:rPr>
        <w:t xml:space="preserve"> </w:t>
      </w:r>
      <w:r>
        <w:rPr>
          <w:rFonts w:hint="eastAsia"/>
          <w:b/>
          <w:bCs/>
          <w:sz w:val="24"/>
          <w:szCs w:val="24"/>
        </w:rPr>
        <w:t>原核微生物</w:t>
      </w:r>
    </w:p>
    <w:p>
      <w:pPr>
        <w:pStyle w:val="17"/>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、原核生物的形态与结构</w:t>
      </w:r>
    </w:p>
    <w:p>
      <w:pPr>
        <w:pStyle w:val="17"/>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2</w:t>
      </w:r>
      <w:r>
        <w:rPr>
          <w:rFonts w:hint="eastAsia" w:ascii="宋体" w:hAnsi="宋体" w:cs="宋体"/>
          <w:color w:val="333333"/>
          <w:kern w:val="0"/>
          <w:sz w:val="24"/>
          <w:szCs w:val="24"/>
        </w:rPr>
        <w:t>、原核生物的功能</w:t>
      </w:r>
    </w:p>
    <w:p>
      <w:pPr>
        <w:pStyle w:val="17"/>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、原核生物的应用</w:t>
      </w:r>
    </w:p>
    <w:p>
      <w:pPr>
        <w:spacing w:line="360" w:lineRule="auto"/>
        <w:ind w:firstLine="482" w:firstLineChars="200"/>
        <w:rPr>
          <w:rFonts w:hint="eastAsia" w:ascii="宋体" w:hAnsi="宋体" w:cs="宋体"/>
          <w:b/>
          <w:kern w:val="0"/>
          <w:sz w:val="24"/>
        </w:rPr>
      </w:pPr>
      <w:r>
        <w:rPr>
          <w:rFonts w:ascii="宋体" w:hAnsi="宋体" w:cs="宋体"/>
          <w:b/>
          <w:kern w:val="0"/>
          <w:sz w:val="24"/>
        </w:rPr>
        <w:t>第</w:t>
      </w:r>
      <w:r>
        <w:rPr>
          <w:rFonts w:hint="eastAsia" w:ascii="宋体" w:hAnsi="宋体" w:cs="宋体"/>
          <w:b/>
          <w:kern w:val="0"/>
          <w:sz w:val="24"/>
        </w:rPr>
        <w:t>二部分</w:t>
      </w:r>
      <w:r>
        <w:rPr>
          <w:rFonts w:ascii="宋体" w:hAnsi="宋体" w:cs="宋体"/>
          <w:b/>
          <w:kern w:val="0"/>
          <w:sz w:val="24"/>
        </w:rPr>
        <w:t xml:space="preserve"> </w:t>
      </w:r>
      <w:r>
        <w:rPr>
          <w:rFonts w:hint="eastAsia" w:ascii="宋体" w:hAnsi="宋体" w:cs="宋体"/>
          <w:b/>
          <w:kern w:val="0"/>
          <w:sz w:val="24"/>
        </w:rPr>
        <w:t>真核微生物</w:t>
      </w:r>
    </w:p>
    <w:p>
      <w:pPr>
        <w:pStyle w:val="17"/>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1、真核微生物的形态与结构</w:t>
      </w:r>
    </w:p>
    <w:p>
      <w:pPr>
        <w:pStyle w:val="17"/>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2、真核微生物的功能</w:t>
      </w:r>
    </w:p>
    <w:p>
      <w:pPr>
        <w:pStyle w:val="17"/>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3、真核微生物的应用</w:t>
      </w:r>
    </w:p>
    <w:p>
      <w:pPr>
        <w:spacing w:line="360" w:lineRule="auto"/>
        <w:ind w:firstLine="482" w:firstLineChars="200"/>
        <w:rPr>
          <w:rFonts w:hint="eastAsia" w:ascii="宋体" w:hAnsi="宋体" w:cs="宋体"/>
          <w:b/>
          <w:kern w:val="0"/>
          <w:sz w:val="24"/>
        </w:rPr>
      </w:pPr>
      <w:r>
        <w:rPr>
          <w:rFonts w:ascii="宋体" w:hAnsi="宋体" w:cs="宋体"/>
          <w:b/>
          <w:kern w:val="0"/>
          <w:sz w:val="24"/>
        </w:rPr>
        <w:t>第</w:t>
      </w:r>
      <w:r>
        <w:rPr>
          <w:rFonts w:hint="eastAsia" w:ascii="宋体" w:hAnsi="宋体" w:cs="宋体"/>
          <w:b/>
          <w:kern w:val="0"/>
          <w:sz w:val="24"/>
        </w:rPr>
        <w:t>三部分</w:t>
      </w:r>
      <w:r>
        <w:rPr>
          <w:rFonts w:ascii="宋体" w:hAnsi="宋体" w:cs="宋体"/>
          <w:b/>
          <w:kern w:val="0"/>
          <w:sz w:val="24"/>
        </w:rPr>
        <w:t xml:space="preserve"> </w:t>
      </w:r>
      <w:r>
        <w:rPr>
          <w:rFonts w:hint="eastAsia" w:ascii="宋体" w:hAnsi="宋体" w:cs="宋体"/>
          <w:b/>
          <w:kern w:val="0"/>
          <w:sz w:val="24"/>
        </w:rPr>
        <w:t>病毒</w:t>
      </w:r>
    </w:p>
    <w:p>
      <w:pPr>
        <w:pStyle w:val="17"/>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、病毒的特点</w:t>
      </w:r>
    </w:p>
    <w:p>
      <w:pPr>
        <w:pStyle w:val="17"/>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2</w:t>
      </w:r>
      <w:r>
        <w:rPr>
          <w:rFonts w:hint="eastAsia" w:ascii="宋体" w:hAnsi="宋体" w:cs="宋体"/>
          <w:color w:val="333333"/>
          <w:kern w:val="0"/>
          <w:sz w:val="24"/>
          <w:szCs w:val="24"/>
        </w:rPr>
        <w:t>、病毒的化学组成和结构</w:t>
      </w:r>
    </w:p>
    <w:p>
      <w:pPr>
        <w:pStyle w:val="17"/>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、病毒的繁殖过程</w:t>
      </w:r>
    </w:p>
    <w:p>
      <w:pPr>
        <w:pStyle w:val="17"/>
        <w:spacing w:line="360" w:lineRule="auto"/>
        <w:ind w:firstLine="482"/>
        <w:jc w:val="left"/>
        <w:rPr>
          <w:rFonts w:hint="eastAsia" w:ascii="宋体" w:hAnsi="宋体" w:cs="宋体"/>
          <w:b/>
          <w:kern w:val="0"/>
          <w:sz w:val="24"/>
        </w:rPr>
      </w:pPr>
      <w:r>
        <w:rPr>
          <w:rFonts w:ascii="宋体" w:hAnsi="宋体" w:cs="宋体"/>
          <w:b/>
          <w:kern w:val="0"/>
          <w:sz w:val="24"/>
        </w:rPr>
        <w:t>第</w:t>
      </w:r>
      <w:r>
        <w:rPr>
          <w:rFonts w:hint="eastAsia" w:ascii="宋体" w:hAnsi="宋体" w:cs="宋体"/>
          <w:b/>
          <w:kern w:val="0"/>
          <w:sz w:val="24"/>
        </w:rPr>
        <w:t>四部分</w:t>
      </w:r>
      <w:r>
        <w:rPr>
          <w:rFonts w:ascii="宋体" w:hAnsi="宋体" w:cs="宋体"/>
          <w:b/>
          <w:kern w:val="0"/>
          <w:sz w:val="24"/>
        </w:rPr>
        <w:t xml:space="preserve"> </w:t>
      </w:r>
      <w:r>
        <w:rPr>
          <w:rFonts w:hint="eastAsia" w:ascii="宋体" w:hAnsi="宋体" w:cs="宋体"/>
          <w:b/>
          <w:kern w:val="0"/>
          <w:sz w:val="24"/>
        </w:rPr>
        <w:t>微生物生理</w:t>
      </w:r>
    </w:p>
    <w:p>
      <w:pPr>
        <w:pStyle w:val="17"/>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、微生物的生长与控制</w:t>
      </w:r>
    </w:p>
    <w:p>
      <w:pPr>
        <w:pStyle w:val="17"/>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2、微生物的培养</w:t>
      </w:r>
    </w:p>
    <w:p>
      <w:pPr>
        <w:pStyle w:val="17"/>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3、微生物的能量代谢</w:t>
      </w:r>
    </w:p>
    <w:p>
      <w:pPr>
        <w:pStyle w:val="18"/>
        <w:spacing w:line="360" w:lineRule="auto"/>
        <w:ind w:firstLine="482"/>
        <w:jc w:val="left"/>
        <w:rPr>
          <w:rFonts w:hint="eastAsia" w:ascii="宋体" w:hAnsi="宋体" w:cs="宋体"/>
          <w:b/>
          <w:kern w:val="0"/>
          <w:sz w:val="24"/>
        </w:rPr>
      </w:pPr>
      <w:r>
        <w:rPr>
          <w:rFonts w:ascii="宋体" w:hAnsi="宋体" w:cs="宋体"/>
          <w:b/>
          <w:kern w:val="0"/>
          <w:sz w:val="24"/>
        </w:rPr>
        <w:t>第</w:t>
      </w:r>
      <w:r>
        <w:rPr>
          <w:rFonts w:hint="eastAsia" w:ascii="宋体" w:hAnsi="宋体" w:cs="宋体"/>
          <w:b/>
          <w:kern w:val="0"/>
          <w:sz w:val="24"/>
        </w:rPr>
        <w:t>五部分</w:t>
      </w:r>
      <w:r>
        <w:rPr>
          <w:rFonts w:ascii="宋体" w:hAnsi="宋体" w:cs="宋体"/>
          <w:b/>
          <w:kern w:val="0"/>
          <w:sz w:val="24"/>
        </w:rPr>
        <w:t xml:space="preserve"> </w:t>
      </w:r>
      <w:r>
        <w:rPr>
          <w:rFonts w:hint="eastAsia" w:ascii="宋体" w:hAnsi="宋体" w:cs="宋体"/>
          <w:b/>
          <w:kern w:val="0"/>
          <w:sz w:val="24"/>
        </w:rPr>
        <w:t>微生物生态</w:t>
      </w:r>
    </w:p>
    <w:p>
      <w:pPr>
        <w:pStyle w:val="18"/>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、生态系统、生物圈和生态平衡</w:t>
      </w:r>
    </w:p>
    <w:p>
      <w:pPr>
        <w:pStyle w:val="18"/>
        <w:spacing w:line="360" w:lineRule="auto"/>
        <w:ind w:firstLine="960" w:firstLineChars="400"/>
        <w:jc w:val="left"/>
        <w:rPr>
          <w:rFonts w:hint="eastAsia" w:ascii="宋体" w:hAnsi="宋体" w:cs="宋体"/>
          <w:color w:val="333333"/>
          <w:kern w:val="0"/>
          <w:sz w:val="24"/>
          <w:szCs w:val="24"/>
        </w:rPr>
      </w:pPr>
      <w:r>
        <w:rPr>
          <w:rFonts w:hint="eastAsia" w:ascii="宋体" w:hAnsi="宋体" w:cs="宋体"/>
          <w:color w:val="333333"/>
          <w:kern w:val="0"/>
          <w:sz w:val="24"/>
          <w:szCs w:val="24"/>
        </w:rPr>
        <w:t>2、水、土、气微生物作用</w:t>
      </w:r>
    </w:p>
    <w:p>
      <w:pPr>
        <w:pStyle w:val="18"/>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、微生物的各种生存方式</w:t>
      </w:r>
    </w:p>
    <w:p>
      <w:pPr>
        <w:pStyle w:val="17"/>
        <w:spacing w:line="360" w:lineRule="auto"/>
        <w:ind w:firstLine="482"/>
        <w:jc w:val="left"/>
        <w:rPr>
          <w:rFonts w:hint="eastAsia" w:ascii="宋体" w:hAnsi="宋体" w:cs="宋体"/>
          <w:b/>
          <w:kern w:val="0"/>
          <w:sz w:val="24"/>
        </w:rPr>
      </w:pPr>
      <w:r>
        <w:rPr>
          <w:rFonts w:ascii="宋体" w:hAnsi="宋体" w:cs="宋体"/>
          <w:b/>
          <w:kern w:val="0"/>
          <w:sz w:val="24"/>
        </w:rPr>
        <w:t>第</w:t>
      </w:r>
      <w:r>
        <w:rPr>
          <w:rFonts w:hint="eastAsia" w:ascii="宋体" w:hAnsi="宋体" w:cs="宋体"/>
          <w:b/>
          <w:kern w:val="0"/>
          <w:sz w:val="24"/>
        </w:rPr>
        <w:t>六部分</w:t>
      </w:r>
      <w:r>
        <w:rPr>
          <w:rFonts w:ascii="宋体" w:hAnsi="宋体" w:cs="宋体"/>
          <w:b/>
          <w:kern w:val="0"/>
          <w:sz w:val="24"/>
        </w:rPr>
        <w:t xml:space="preserve"> </w:t>
      </w:r>
      <w:r>
        <w:rPr>
          <w:rFonts w:hint="eastAsia" w:ascii="宋体" w:hAnsi="宋体" w:cs="宋体"/>
          <w:b/>
          <w:kern w:val="0"/>
          <w:sz w:val="24"/>
        </w:rPr>
        <w:t>环境微生物在污染控制与治理中的应用</w:t>
      </w:r>
    </w:p>
    <w:p>
      <w:pPr>
        <w:pStyle w:val="17"/>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1</w:t>
      </w:r>
      <w:r>
        <w:rPr>
          <w:rFonts w:hint="eastAsia" w:ascii="宋体" w:hAnsi="宋体" w:cs="宋体"/>
          <w:color w:val="333333"/>
          <w:kern w:val="0"/>
          <w:sz w:val="24"/>
          <w:szCs w:val="24"/>
        </w:rPr>
        <w:t>、土生态环境中微生物的修复技术</w:t>
      </w:r>
    </w:p>
    <w:p>
      <w:pPr>
        <w:pStyle w:val="17"/>
        <w:spacing w:line="360" w:lineRule="auto"/>
        <w:ind w:firstLine="960" w:firstLineChars="400"/>
        <w:jc w:val="left"/>
        <w:rPr>
          <w:rFonts w:ascii="宋体" w:hAnsi="宋体" w:cs="宋体"/>
          <w:color w:val="333333"/>
          <w:kern w:val="0"/>
          <w:sz w:val="24"/>
          <w:szCs w:val="24"/>
        </w:rPr>
      </w:pPr>
      <w:r>
        <w:rPr>
          <w:rFonts w:hint="eastAsia" w:ascii="宋体" w:hAnsi="宋体" w:cs="宋体"/>
          <w:color w:val="333333"/>
          <w:kern w:val="0"/>
          <w:sz w:val="24"/>
          <w:szCs w:val="24"/>
        </w:rPr>
        <w:t>2、水生态环境中微生物的修复技术</w:t>
      </w:r>
    </w:p>
    <w:p>
      <w:pPr>
        <w:pStyle w:val="17"/>
        <w:spacing w:line="360" w:lineRule="auto"/>
        <w:ind w:firstLine="960" w:firstLineChars="400"/>
        <w:jc w:val="left"/>
        <w:rPr>
          <w:rFonts w:hint="eastAsia" w:ascii="宋体" w:hAnsi="宋体" w:cs="宋体"/>
          <w:color w:val="333333"/>
          <w:kern w:val="0"/>
          <w:sz w:val="24"/>
          <w:szCs w:val="24"/>
        </w:rPr>
      </w:pPr>
      <w:r>
        <w:rPr>
          <w:rFonts w:ascii="宋体" w:hAnsi="宋体" w:cs="宋体"/>
          <w:color w:val="333333"/>
          <w:kern w:val="0"/>
          <w:sz w:val="24"/>
          <w:szCs w:val="24"/>
        </w:rPr>
        <w:t>3</w:t>
      </w:r>
      <w:r>
        <w:rPr>
          <w:rFonts w:hint="eastAsia" w:ascii="宋体" w:hAnsi="宋体" w:cs="宋体"/>
          <w:color w:val="333333"/>
          <w:kern w:val="0"/>
          <w:sz w:val="24"/>
          <w:szCs w:val="24"/>
        </w:rPr>
        <w:t>、水土污染的生态环境微生物修复案例</w:t>
      </w:r>
    </w:p>
    <w:p>
      <w:pPr>
        <w:pStyle w:val="17"/>
        <w:spacing w:line="360" w:lineRule="auto"/>
        <w:ind w:firstLine="0" w:firstLineChars="0"/>
        <w:jc w:val="left"/>
        <w:rPr>
          <w:rFonts w:ascii="宋体" w:hAnsi="宋体"/>
          <w:sz w:val="24"/>
          <w:szCs w:val="24"/>
        </w:rPr>
      </w:pPr>
      <w:r>
        <w:rPr>
          <w:rFonts w:hint="eastAsia" w:ascii="黑体" w:eastAsia="黑体" w:cs="黑体"/>
          <w:sz w:val="24"/>
          <w:szCs w:val="24"/>
        </w:rPr>
        <w:t>五、</w:t>
      </w:r>
      <w:r>
        <w:rPr>
          <w:rFonts w:hint="eastAsia" w:ascii="黑体" w:eastAsia="黑体" w:cs="黑体"/>
          <w:sz w:val="24"/>
          <w:szCs w:val="24"/>
          <w:lang w:eastAsia="zh-CN"/>
        </w:rPr>
        <w:t>参考书目</w:t>
      </w:r>
    </w:p>
    <w:p>
      <w:pPr>
        <w:spacing w:line="360" w:lineRule="auto"/>
        <w:ind w:left="1198" w:leftChars="456" w:hanging="240" w:hangingChars="100"/>
        <w:rPr>
          <w:rFonts w:hint="eastAsia" w:ascii="宋体" w:hAnsi="宋体" w:eastAsia="宋体" w:cs="Times New Roman"/>
          <w:kern w:val="2"/>
          <w:sz w:val="24"/>
          <w:szCs w:val="24"/>
          <w:lang w:val="en-US" w:eastAsia="zh-CN" w:bidi="ar-SA"/>
        </w:rPr>
      </w:pPr>
      <w:r>
        <w:rPr>
          <w:rFonts w:hint="eastAsia" w:ascii="宋体" w:hAnsi="宋体"/>
          <w:sz w:val="24"/>
          <w:szCs w:val="24"/>
        </w:rPr>
        <w:t>《环境微生物学</w:t>
      </w:r>
      <w:r>
        <w:rPr>
          <w:rFonts w:ascii="宋体" w:hAnsi="宋体"/>
          <w:sz w:val="24"/>
          <w:szCs w:val="24"/>
        </w:rPr>
        <w:t>》</w:t>
      </w:r>
      <w:r>
        <w:rPr>
          <w:rFonts w:hint="eastAsia" w:ascii="宋体" w:hAnsi="宋体"/>
          <w:sz w:val="24"/>
          <w:szCs w:val="24"/>
        </w:rPr>
        <w:t>（第3版），乐毅全、王士芬等著</w:t>
      </w:r>
      <w:r>
        <w:rPr>
          <w:rFonts w:ascii="宋体" w:hAnsi="宋体"/>
          <w:sz w:val="24"/>
          <w:szCs w:val="24"/>
        </w:rPr>
        <w:t>，</w:t>
      </w:r>
      <w:r>
        <w:rPr>
          <w:rFonts w:hint="eastAsia" w:ascii="宋体" w:hAnsi="宋体"/>
          <w:sz w:val="24"/>
          <w:szCs w:val="24"/>
        </w:rPr>
        <w:t>化学工业出版社</w:t>
      </w:r>
      <w:r>
        <w:rPr>
          <w:rFonts w:hint="eastAsia" w:ascii="宋体" w:hAnsi="宋体" w:eastAsia="宋体" w:cs="Times New Roman"/>
          <w:kern w:val="2"/>
          <w:sz w:val="24"/>
          <w:szCs w:val="24"/>
          <w:lang w:val="en-US" w:eastAsia="zh-CN" w:bidi="ar-SA"/>
        </w:rPr>
        <w:t>，</w:t>
      </w:r>
    </w:p>
    <w:p>
      <w:pPr>
        <w:spacing w:line="360" w:lineRule="auto"/>
        <w:ind w:left="1198" w:leftChars="456" w:hanging="240" w:hangingChars="100"/>
        <w:rPr>
          <w:rFonts w:hint="eastAsia" w:ascii="宋体" w:hAnsi="宋体" w:eastAsia="宋体" w:cs="Times New Roman"/>
          <w:kern w:val="2"/>
          <w:sz w:val="24"/>
          <w:szCs w:val="24"/>
          <w:lang w:val="en-US" w:eastAsia="zh-CN" w:bidi="ar-SA"/>
        </w:rPr>
      </w:pPr>
      <w:r>
        <w:rPr>
          <w:rFonts w:ascii="宋体" w:hAnsi="宋体" w:eastAsia="宋体" w:cs="Times New Roman"/>
          <w:kern w:val="2"/>
          <w:sz w:val="24"/>
          <w:szCs w:val="24"/>
          <w:lang w:val="en-US" w:eastAsia="zh-CN" w:bidi="ar-SA"/>
        </w:rPr>
        <w:t>2019年。</w:t>
      </w:r>
    </w:p>
    <w:p>
      <w:pPr>
        <w:pStyle w:val="17"/>
        <w:spacing w:line="360" w:lineRule="auto"/>
        <w:ind w:firstLineChars="0"/>
        <w:jc w:val="left"/>
        <w:rPr>
          <w:rFonts w:hint="eastAsia" w:ascii="黑体" w:eastAsia="黑体"/>
          <w:sz w:val="24"/>
          <w:szCs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0"/>
  <w:bordersDoNotSurroundFooter w:val="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D8"/>
    <w:rsid w:val="00014CD8"/>
    <w:rsid w:val="00042043"/>
    <w:rsid w:val="00046D25"/>
    <w:rsid w:val="000525A8"/>
    <w:rsid w:val="00081F43"/>
    <w:rsid w:val="000911B7"/>
    <w:rsid w:val="000E43DE"/>
    <w:rsid w:val="000F7192"/>
    <w:rsid w:val="00107F32"/>
    <w:rsid w:val="00114FD2"/>
    <w:rsid w:val="00123F24"/>
    <w:rsid w:val="00142451"/>
    <w:rsid w:val="00183719"/>
    <w:rsid w:val="00183C74"/>
    <w:rsid w:val="001A218C"/>
    <w:rsid w:val="001C07D7"/>
    <w:rsid w:val="001F1D78"/>
    <w:rsid w:val="001F4CFC"/>
    <w:rsid w:val="002162DD"/>
    <w:rsid w:val="00240AE5"/>
    <w:rsid w:val="002437C6"/>
    <w:rsid w:val="002638BD"/>
    <w:rsid w:val="002902C6"/>
    <w:rsid w:val="0029638C"/>
    <w:rsid w:val="002A3B29"/>
    <w:rsid w:val="002B312F"/>
    <w:rsid w:val="002B7BA3"/>
    <w:rsid w:val="002C2686"/>
    <w:rsid w:val="002E4BDB"/>
    <w:rsid w:val="00303249"/>
    <w:rsid w:val="00307F14"/>
    <w:rsid w:val="00315D73"/>
    <w:rsid w:val="003271CE"/>
    <w:rsid w:val="00340E3E"/>
    <w:rsid w:val="00343214"/>
    <w:rsid w:val="00344ECA"/>
    <w:rsid w:val="0036196B"/>
    <w:rsid w:val="003B598D"/>
    <w:rsid w:val="0042185C"/>
    <w:rsid w:val="00476E85"/>
    <w:rsid w:val="004A162D"/>
    <w:rsid w:val="004A4E2B"/>
    <w:rsid w:val="004B2226"/>
    <w:rsid w:val="004C2451"/>
    <w:rsid w:val="004D2666"/>
    <w:rsid w:val="005029EA"/>
    <w:rsid w:val="00511FBD"/>
    <w:rsid w:val="00521B36"/>
    <w:rsid w:val="00523A79"/>
    <w:rsid w:val="005277F0"/>
    <w:rsid w:val="00537292"/>
    <w:rsid w:val="005706AE"/>
    <w:rsid w:val="00622172"/>
    <w:rsid w:val="00630446"/>
    <w:rsid w:val="0067223E"/>
    <w:rsid w:val="006D6C4C"/>
    <w:rsid w:val="006F1937"/>
    <w:rsid w:val="00707C15"/>
    <w:rsid w:val="00736394"/>
    <w:rsid w:val="00736C10"/>
    <w:rsid w:val="007438CB"/>
    <w:rsid w:val="0075750C"/>
    <w:rsid w:val="00765980"/>
    <w:rsid w:val="00771811"/>
    <w:rsid w:val="00786F09"/>
    <w:rsid w:val="007B4713"/>
    <w:rsid w:val="007E60E8"/>
    <w:rsid w:val="00800822"/>
    <w:rsid w:val="00855321"/>
    <w:rsid w:val="00892711"/>
    <w:rsid w:val="008B63DF"/>
    <w:rsid w:val="008B64E9"/>
    <w:rsid w:val="008D1244"/>
    <w:rsid w:val="008D3B5C"/>
    <w:rsid w:val="008E08BB"/>
    <w:rsid w:val="008E299B"/>
    <w:rsid w:val="009579C0"/>
    <w:rsid w:val="009637E2"/>
    <w:rsid w:val="00997847"/>
    <w:rsid w:val="009A0B37"/>
    <w:rsid w:val="009E6649"/>
    <w:rsid w:val="009F1549"/>
    <w:rsid w:val="00A07322"/>
    <w:rsid w:val="00A128B9"/>
    <w:rsid w:val="00A24C9C"/>
    <w:rsid w:val="00A3777D"/>
    <w:rsid w:val="00A4576B"/>
    <w:rsid w:val="00A555F7"/>
    <w:rsid w:val="00A80DE0"/>
    <w:rsid w:val="00AA0CB0"/>
    <w:rsid w:val="00AA29C9"/>
    <w:rsid w:val="00AC11EE"/>
    <w:rsid w:val="00AC664E"/>
    <w:rsid w:val="00AE5222"/>
    <w:rsid w:val="00B34E05"/>
    <w:rsid w:val="00B45300"/>
    <w:rsid w:val="00BB217C"/>
    <w:rsid w:val="00C2422D"/>
    <w:rsid w:val="00C32333"/>
    <w:rsid w:val="00C4074B"/>
    <w:rsid w:val="00C4306B"/>
    <w:rsid w:val="00C86AA0"/>
    <w:rsid w:val="00C9109A"/>
    <w:rsid w:val="00CB0E4E"/>
    <w:rsid w:val="00D03288"/>
    <w:rsid w:val="00D210FD"/>
    <w:rsid w:val="00D46E5A"/>
    <w:rsid w:val="00D61AD1"/>
    <w:rsid w:val="00D8319E"/>
    <w:rsid w:val="00DA190D"/>
    <w:rsid w:val="00DC30E7"/>
    <w:rsid w:val="00DD1C4E"/>
    <w:rsid w:val="00DF3E52"/>
    <w:rsid w:val="00DF621A"/>
    <w:rsid w:val="00E14D83"/>
    <w:rsid w:val="00E15A68"/>
    <w:rsid w:val="00E427F9"/>
    <w:rsid w:val="00E44C4D"/>
    <w:rsid w:val="00E62B48"/>
    <w:rsid w:val="00E72F9A"/>
    <w:rsid w:val="00E800DB"/>
    <w:rsid w:val="00E80C1E"/>
    <w:rsid w:val="00E818DF"/>
    <w:rsid w:val="00EA753A"/>
    <w:rsid w:val="00ED1F20"/>
    <w:rsid w:val="00EE703C"/>
    <w:rsid w:val="00EF47A9"/>
    <w:rsid w:val="00F05EA5"/>
    <w:rsid w:val="00F11BF6"/>
    <w:rsid w:val="00F552A9"/>
    <w:rsid w:val="00F6709D"/>
    <w:rsid w:val="00F71B32"/>
    <w:rsid w:val="00FA12EB"/>
    <w:rsid w:val="00FC6D8C"/>
    <w:rsid w:val="00FD465D"/>
    <w:rsid w:val="2A3416AB"/>
    <w:rsid w:val="659B26F9"/>
    <w:rsid w:val="65EB5D7C"/>
    <w:rsid w:val="79F924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1"/>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Cambria" w:hAnsi="Cambria"/>
      <w:b/>
      <w:bCs/>
      <w:kern w:val="0"/>
      <w:sz w:val="32"/>
      <w:szCs w:val="32"/>
    </w:rPr>
  </w:style>
  <w:style w:type="character" w:default="1" w:styleId="13">
    <w:name w:val="Default Paragraph Font"/>
    <w:unhideWhenUsed/>
    <w:uiPriority w:val="1"/>
  </w:style>
  <w:style w:type="table" w:default="1" w:styleId="11">
    <w:name w:val="Normal Table"/>
    <w:unhideWhenUsed/>
    <w:uiPriority w:val="99"/>
    <w:tblPr>
      <w:tblStyle w:val="11"/>
      <w:tblCellMar>
        <w:top w:w="0" w:type="dxa"/>
        <w:left w:w="108" w:type="dxa"/>
        <w:bottom w:w="0" w:type="dxa"/>
        <w:right w:w="108" w:type="dxa"/>
      </w:tblCellMar>
    </w:tblPr>
  </w:style>
  <w:style w:type="paragraph" w:styleId="3">
    <w:name w:val="Body Text Indent"/>
    <w:basedOn w:val="1"/>
    <w:link w:val="20"/>
    <w:semiHidden/>
    <w:uiPriority w:val="99"/>
    <w:pPr>
      <w:spacing w:after="120"/>
      <w:ind w:left="420" w:leftChars="200"/>
    </w:pPr>
    <w:rPr>
      <w:kern w:val="0"/>
      <w:sz w:val="24"/>
      <w:szCs w:val="24"/>
    </w:rPr>
  </w:style>
  <w:style w:type="paragraph" w:styleId="4">
    <w:name w:val="Body Text Indent 2"/>
    <w:basedOn w:val="1"/>
    <w:link w:val="21"/>
    <w:uiPriority w:val="99"/>
    <w:pPr>
      <w:spacing w:after="120" w:line="480" w:lineRule="auto"/>
      <w:ind w:left="420" w:leftChars="200"/>
    </w:pPr>
    <w:rPr>
      <w:kern w:val="0"/>
      <w:sz w:val="24"/>
      <w:szCs w:val="24"/>
    </w:rPr>
  </w:style>
  <w:style w:type="paragraph" w:styleId="5">
    <w:name w:val="Balloon Text"/>
    <w:basedOn w:val="1"/>
    <w:link w:val="22"/>
    <w:semiHidden/>
    <w:uiPriority w:val="99"/>
    <w:rPr>
      <w:kern w:val="0"/>
      <w:sz w:val="18"/>
      <w:szCs w:val="18"/>
    </w:rPr>
  </w:style>
  <w:style w:type="paragraph" w:styleId="6">
    <w:name w:val="footer"/>
    <w:basedOn w:val="1"/>
    <w:link w:val="23"/>
    <w:uiPriority w:val="99"/>
    <w:pPr>
      <w:tabs>
        <w:tab w:val="center" w:pos="4153"/>
        <w:tab w:val="right" w:pos="8306"/>
      </w:tabs>
      <w:snapToGrid w:val="0"/>
      <w:jc w:val="left"/>
    </w:pPr>
    <w:rPr>
      <w:kern w:val="0"/>
      <w:sz w:val="18"/>
      <w:szCs w:val="18"/>
    </w:rPr>
  </w:style>
  <w:style w:type="paragraph" w:styleId="7">
    <w:name w:val="header"/>
    <w:basedOn w:val="1"/>
    <w:link w:val="24"/>
    <w:uiPriority w:val="99"/>
    <w:pPr>
      <w:pBdr>
        <w:bottom w:val="single" w:color="auto" w:sz="6" w:space="1"/>
      </w:pBdr>
      <w:tabs>
        <w:tab w:val="center" w:pos="4153"/>
        <w:tab w:val="right" w:pos="8306"/>
      </w:tabs>
      <w:snapToGrid w:val="0"/>
      <w:jc w:val="center"/>
    </w:pPr>
    <w:rPr>
      <w:kern w:val="0"/>
      <w:sz w:val="18"/>
      <w:szCs w:val="18"/>
    </w:rPr>
  </w:style>
  <w:style w:type="paragraph" w:styleId="8">
    <w:name w:val="footnote text"/>
    <w:basedOn w:val="1"/>
    <w:link w:val="25"/>
    <w:unhideWhenUsed/>
    <w:uiPriority w:val="99"/>
    <w:pPr>
      <w:snapToGrid w:val="0"/>
      <w:jc w:val="left"/>
    </w:pPr>
    <w:rPr>
      <w:kern w:val="0"/>
      <w:sz w:val="18"/>
      <w:szCs w:val="18"/>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uiPriority w:val="99"/>
    <w:pPr>
      <w:widowControl/>
      <w:spacing w:before="100" w:beforeAutospacing="1" w:after="100" w:afterAutospacing="1" w:line="400" w:lineRule="exact"/>
      <w:ind w:firstLine="200" w:firstLineChars="200"/>
      <w:jc w:val="left"/>
    </w:pPr>
    <w:rPr>
      <w:rFonts w:ascii="宋体" w:hAnsi="宋体" w:cs="宋体"/>
      <w:kern w:val="0"/>
      <w:sz w:val="24"/>
      <w:szCs w:val="24"/>
    </w:rPr>
  </w:style>
  <w:style w:type="table" w:styleId="12">
    <w:name w:val="Table Grid"/>
    <w:basedOn w:val="11"/>
    <w:uiPriority w:val="99"/>
    <w:rPr>
      <w:rFonts w:cs="Calibri"/>
    </w:r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unhideWhenUsed/>
    <w:uiPriority w:val="99"/>
    <w:rPr>
      <w:color w:val="333333"/>
      <w:sz w:val="18"/>
      <w:szCs w:val="18"/>
      <w:u w:val="none"/>
    </w:rPr>
  </w:style>
  <w:style w:type="character" w:styleId="15">
    <w:name w:val="Hyperlink"/>
    <w:basedOn w:val="13"/>
    <w:unhideWhenUsed/>
    <w:uiPriority w:val="99"/>
    <w:rPr>
      <w:color w:val="333333"/>
      <w:sz w:val="18"/>
      <w:szCs w:val="18"/>
      <w:u w:val="none"/>
    </w:rPr>
  </w:style>
  <w:style w:type="character" w:styleId="16">
    <w:name w:val="footnote reference"/>
    <w:unhideWhenUsed/>
    <w:uiPriority w:val="99"/>
    <w:rPr>
      <w:vertAlign w:val="superscript"/>
    </w:rPr>
  </w:style>
  <w:style w:type="paragraph" w:styleId="17">
    <w:name w:val="List Paragraph"/>
    <w:basedOn w:val="1"/>
    <w:qFormat/>
    <w:uiPriority w:val="99"/>
    <w:pPr>
      <w:ind w:firstLine="420" w:firstLineChars="200"/>
    </w:pPr>
  </w:style>
  <w:style w:type="paragraph" w:customStyle="1" w:styleId="18">
    <w:name w:val="_Style 34"/>
    <w:basedOn w:val="1"/>
    <w:next w:val="17"/>
    <w:qFormat/>
    <w:uiPriority w:val="99"/>
    <w:pPr>
      <w:ind w:firstLine="420" w:firstLineChars="200"/>
    </w:pPr>
  </w:style>
  <w:style w:type="character" w:customStyle="1" w:styleId="19">
    <w:name w:val="标题 2 Char"/>
    <w:link w:val="2"/>
    <w:locked/>
    <w:uiPriority w:val="99"/>
    <w:rPr>
      <w:rFonts w:ascii="Cambria" w:hAnsi="Cambria" w:eastAsia="宋体" w:cs="Cambria"/>
      <w:b/>
      <w:bCs/>
      <w:sz w:val="32"/>
      <w:szCs w:val="32"/>
    </w:rPr>
  </w:style>
  <w:style w:type="character" w:customStyle="1" w:styleId="20">
    <w:name w:val="正文文本缩进 Char"/>
    <w:link w:val="3"/>
    <w:semiHidden/>
    <w:locked/>
    <w:uiPriority w:val="99"/>
    <w:rPr>
      <w:rFonts w:ascii="Times New Roman" w:hAnsi="Times New Roman" w:eastAsia="宋体" w:cs="Times New Roman"/>
      <w:sz w:val="24"/>
      <w:szCs w:val="24"/>
    </w:rPr>
  </w:style>
  <w:style w:type="character" w:customStyle="1" w:styleId="21">
    <w:name w:val="正文文本缩进 2 Char"/>
    <w:link w:val="4"/>
    <w:locked/>
    <w:uiPriority w:val="99"/>
    <w:rPr>
      <w:rFonts w:ascii="Times New Roman" w:hAnsi="Times New Roman" w:eastAsia="宋体" w:cs="Times New Roman"/>
      <w:sz w:val="24"/>
      <w:szCs w:val="24"/>
    </w:rPr>
  </w:style>
  <w:style w:type="character" w:customStyle="1" w:styleId="22">
    <w:name w:val="批注框文本 Char"/>
    <w:link w:val="5"/>
    <w:semiHidden/>
    <w:locked/>
    <w:uiPriority w:val="99"/>
    <w:rPr>
      <w:rFonts w:ascii="Times New Roman" w:hAnsi="Times New Roman" w:eastAsia="宋体" w:cs="Times New Roman"/>
      <w:sz w:val="18"/>
      <w:szCs w:val="18"/>
    </w:rPr>
  </w:style>
  <w:style w:type="character" w:customStyle="1" w:styleId="23">
    <w:name w:val="页脚 Char"/>
    <w:link w:val="6"/>
    <w:locked/>
    <w:uiPriority w:val="99"/>
    <w:rPr>
      <w:rFonts w:ascii="Times New Roman" w:hAnsi="Times New Roman" w:eastAsia="宋体" w:cs="Times New Roman"/>
      <w:sz w:val="18"/>
      <w:szCs w:val="18"/>
    </w:rPr>
  </w:style>
  <w:style w:type="character" w:customStyle="1" w:styleId="24">
    <w:name w:val="页眉 Char"/>
    <w:link w:val="7"/>
    <w:locked/>
    <w:uiPriority w:val="99"/>
    <w:rPr>
      <w:rFonts w:ascii="Times New Roman" w:hAnsi="Times New Roman" w:eastAsia="宋体" w:cs="Times New Roman"/>
      <w:sz w:val="18"/>
      <w:szCs w:val="18"/>
    </w:rPr>
  </w:style>
  <w:style w:type="character" w:customStyle="1" w:styleId="25">
    <w:name w:val="脚注文本 Char"/>
    <w:link w:val="8"/>
    <w:semiHidden/>
    <w:uiPriority w:val="99"/>
    <w:rPr>
      <w:rFonts w:ascii="Times New Roman" w:hAnsi="Times New Roman"/>
      <w:sz w:val="18"/>
      <w:szCs w:val="18"/>
    </w:rPr>
  </w:style>
  <w:style w:type="character" w:styleId="26">
    <w:name w:val="Placeholder Text"/>
    <w:semiHidden/>
    <w:uiPriority w:val="99"/>
    <w:rPr>
      <w:color w:val="808080"/>
    </w:rPr>
  </w:style>
  <w:style w:type="character" w:customStyle="1" w:styleId="27">
    <w:name w:val="item-name"/>
    <w:basedOn w:val="13"/>
    <w:uiPriority w:val="0"/>
  </w:style>
  <w:style w:type="character" w:customStyle="1" w:styleId="28">
    <w:name w:val="item-name1"/>
    <w:basedOn w:val="1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115</Words>
  <Characters>662</Characters>
  <Lines>5</Lines>
  <Paragraphs>1</Paragraphs>
  <TotalTime>0</TotalTime>
  <ScaleCrop>false</ScaleCrop>
  <LinksUpToDate>false</LinksUpToDate>
  <CharactersWithSpaces>776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2019-07-02T12:31:00Z</dcterms:created>
  <dc:creator>刘胤杰</dc:creator>
  <cp:lastModifiedBy>vertesyuan</cp:lastModifiedBy>
  <cp:lastPrinted>2013-05-09T00:57:00Z</cp:lastPrinted>
  <dcterms:modified xsi:type="dcterms:W3CDTF">2021-10-22T07:01:43Z</dcterms:modified>
  <dc:title>《    》课程教学大纲</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E9AB18E1D4D344EEBEA5A39DCE15D037</vt:lpwstr>
  </property>
</Properties>
</file>