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沈阳工程学院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2022年硕士研究生入学考试复试考试大纲</w:t>
      </w:r>
    </w:p>
    <w:p>
      <w:pPr>
        <w:jc w:val="center"/>
        <w:rPr>
          <w:rFonts w:eastAsia="黑体"/>
          <w:b/>
          <w:bCs/>
          <w:color w:val="000000"/>
          <w:sz w:val="24"/>
        </w:rPr>
      </w:pPr>
    </w:p>
    <w:p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</w:rPr>
        <w:t>科目名称：</w:t>
      </w:r>
      <w:r>
        <w:rPr>
          <w:rFonts w:hint="eastAsia"/>
          <w:b/>
          <w:color w:val="000000"/>
          <w:sz w:val="24"/>
        </w:rPr>
        <w:t>电机学</w:t>
      </w:r>
    </w:p>
    <w:p>
      <w:p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适用专业：</w:t>
      </w:r>
      <w:r>
        <w:rPr>
          <w:rFonts w:hint="eastAsia" w:ascii="黑体" w:hAnsi="黑体" w:eastAsia="黑体"/>
          <w:b/>
          <w:color w:val="000000"/>
          <w:sz w:val="24"/>
        </w:rPr>
        <w:t>电气工程</w:t>
      </w:r>
    </w:p>
    <w:p>
      <w:p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考试方式：笔试</w:t>
      </w:r>
    </w:p>
    <w:p>
      <w:pPr>
        <w:spacing w:line="360" w:lineRule="auto"/>
        <w:rPr>
          <w:rFonts w:hint="eastAsia"/>
          <w:b/>
          <w:color w:val="000000"/>
          <w:sz w:val="24"/>
        </w:rPr>
      </w:pPr>
      <w:r>
        <w:rPr>
          <w:b/>
          <w:color w:val="000000"/>
          <w:sz w:val="24"/>
        </w:rPr>
        <w:t>考试范围：</w:t>
      </w:r>
    </w:p>
    <w:p>
      <w:pPr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一、变压器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变压器的基本工作原理、额定值和基本结构；</w:t>
      </w:r>
      <w:r>
        <w:rPr>
          <w:rFonts w:ascii="宋体" w:hAnsi="宋体"/>
          <w:color w:val="000000"/>
          <w:sz w:val="24"/>
        </w:rPr>
        <w:t>变压器空载运行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负载运行和参数测定方法</w:t>
      </w:r>
      <w:r>
        <w:rPr>
          <w:rFonts w:hint="eastAsia" w:ascii="宋体" w:hAnsi="宋体"/>
          <w:color w:val="000000"/>
          <w:sz w:val="24"/>
        </w:rPr>
        <w:t>；变压器标么值的特点及应用；变压器的</w:t>
      </w:r>
      <w:r>
        <w:rPr>
          <w:rFonts w:ascii="宋体" w:hAnsi="宋体"/>
          <w:color w:val="000000"/>
          <w:sz w:val="24"/>
        </w:rPr>
        <w:t>外特性和效率特性的计算；三相变压器磁路</w:t>
      </w:r>
      <w:r>
        <w:rPr>
          <w:rFonts w:hint="eastAsia" w:ascii="宋体" w:hAnsi="宋体"/>
          <w:color w:val="000000"/>
          <w:sz w:val="24"/>
        </w:rPr>
        <w:t>结构、连接组标号的判定</w:t>
      </w:r>
      <w:r>
        <w:rPr>
          <w:rFonts w:ascii="宋体" w:hAnsi="宋体"/>
          <w:color w:val="000000"/>
          <w:sz w:val="24"/>
        </w:rPr>
        <w:t>、</w:t>
      </w:r>
      <w:r>
        <w:rPr>
          <w:rFonts w:hint="eastAsia" w:ascii="宋体" w:hAnsi="宋体"/>
          <w:color w:val="000000"/>
          <w:sz w:val="24"/>
        </w:rPr>
        <w:t>影响电动势波形的因素，</w:t>
      </w:r>
      <w:r>
        <w:rPr>
          <w:rFonts w:ascii="宋体" w:hAnsi="宋体"/>
          <w:color w:val="000000"/>
          <w:sz w:val="24"/>
        </w:rPr>
        <w:t>变压器并联运行的条件；</w:t>
      </w:r>
      <w:r>
        <w:rPr>
          <w:rFonts w:hint="eastAsia" w:ascii="宋体" w:hAnsi="宋体"/>
          <w:color w:val="000000"/>
          <w:sz w:val="24"/>
        </w:rPr>
        <w:t>三绕组变压器结构特点和用途；自耦变压器的结构、电磁关系和容量关系；互感器的结构特点和使用方法。</w:t>
      </w:r>
    </w:p>
    <w:p>
      <w:pPr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</w:t>
      </w:r>
      <w:r>
        <w:rPr>
          <w:rFonts w:ascii="宋体" w:hAnsi="宋体"/>
          <w:b/>
          <w:color w:val="000000"/>
          <w:sz w:val="24"/>
        </w:rPr>
        <w:t>交流绕组、交流绕组电动势和基波磁动势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交流绕组感应电动势计算，绕组因数的物理意义及对改善电动势波形所起的作用；</w:t>
      </w:r>
      <w:r>
        <w:rPr>
          <w:rFonts w:ascii="宋体" w:hAnsi="宋体"/>
          <w:color w:val="000000"/>
          <w:sz w:val="24"/>
        </w:rPr>
        <w:t>单相和三相磁动势的性质。</w:t>
      </w:r>
    </w:p>
    <w:p>
      <w:pPr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三、 </w:t>
      </w:r>
      <w:r>
        <w:rPr>
          <w:rFonts w:ascii="宋体" w:hAnsi="宋体"/>
          <w:b/>
          <w:color w:val="000000"/>
          <w:sz w:val="24"/>
        </w:rPr>
        <w:t>异步电动机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三相异步电动机的基本结构、基本工作原理、转差率的意义和额定值的计算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三相异步电动机的电磁关系、</w:t>
      </w:r>
      <w:r>
        <w:rPr>
          <w:rFonts w:hint="eastAsia" w:ascii="宋体" w:hAnsi="宋体"/>
          <w:color w:val="000000"/>
          <w:sz w:val="24"/>
        </w:rPr>
        <w:t>功率平衡关系和</w:t>
      </w:r>
      <w:r>
        <w:rPr>
          <w:rFonts w:ascii="宋体" w:hAnsi="宋体"/>
          <w:color w:val="000000"/>
          <w:sz w:val="24"/>
        </w:rPr>
        <w:t>转矩特性</w:t>
      </w:r>
      <w:r>
        <w:rPr>
          <w:rFonts w:hint="eastAsia" w:ascii="宋体" w:hAnsi="宋体"/>
          <w:color w:val="000000"/>
          <w:sz w:val="24"/>
        </w:rPr>
        <w:t>；三相异步电动机的</w:t>
      </w:r>
      <w:r>
        <w:rPr>
          <w:rFonts w:ascii="宋体" w:hAnsi="宋体"/>
          <w:color w:val="000000"/>
          <w:sz w:val="24"/>
        </w:rPr>
        <w:t>起动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调速的方法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原理和特点</w:t>
      </w:r>
      <w:r>
        <w:rPr>
          <w:rFonts w:hint="eastAsia" w:ascii="宋体" w:hAnsi="宋体"/>
          <w:color w:val="000000"/>
          <w:sz w:val="24"/>
        </w:rPr>
        <w:t>；单相异步电动机起动的特点</w:t>
      </w:r>
      <w:r>
        <w:rPr>
          <w:rFonts w:ascii="宋体" w:hAnsi="宋体"/>
          <w:color w:val="000000"/>
          <w:sz w:val="24"/>
        </w:rPr>
        <w:t>。</w:t>
      </w:r>
    </w:p>
    <w:p>
      <w:pPr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四、</w:t>
      </w:r>
      <w:r>
        <w:rPr>
          <w:rFonts w:ascii="宋体" w:hAnsi="宋体"/>
          <w:b/>
          <w:color w:val="000000"/>
          <w:sz w:val="24"/>
        </w:rPr>
        <w:t>同步发电机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同步发电机的基本工作原理</w:t>
      </w:r>
      <w:r>
        <w:rPr>
          <w:rFonts w:hint="eastAsia" w:ascii="宋体" w:hAnsi="宋体"/>
          <w:color w:val="000000"/>
          <w:sz w:val="24"/>
        </w:rPr>
        <w:t>、</w:t>
      </w:r>
      <w:r>
        <w:rPr>
          <w:rFonts w:ascii="宋体" w:hAnsi="宋体"/>
          <w:color w:val="000000"/>
          <w:sz w:val="24"/>
        </w:rPr>
        <w:t>结构和额定值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同步发电机的电枢反应的性质及对电机的影响</w:t>
      </w:r>
      <w:r>
        <w:rPr>
          <w:rFonts w:hint="eastAsia" w:ascii="宋体" w:hAnsi="宋体"/>
          <w:color w:val="000000"/>
          <w:sz w:val="24"/>
        </w:rPr>
        <w:t>；同步发电机的电动势方程、相量图和运行特性；</w:t>
      </w:r>
      <w:r>
        <w:rPr>
          <w:rFonts w:ascii="宋体" w:hAnsi="宋体"/>
          <w:color w:val="000000"/>
          <w:sz w:val="24"/>
        </w:rPr>
        <w:t>并列的条件、功角特性及功率调节的方法和原理，静态稳定的判定方法及V 形曲线</w:t>
      </w:r>
      <w:r>
        <w:rPr>
          <w:rFonts w:hint="eastAsia" w:ascii="宋体" w:hAnsi="宋体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三相突然短路时的各电抗的意义及大小关系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[参考书目]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吕宗枢</w:t>
      </w:r>
      <w:r>
        <w:rPr>
          <w:rFonts w:hint="eastAsia"/>
          <w:b/>
          <w:sz w:val="24"/>
          <w:szCs w:val="24"/>
        </w:rPr>
        <w:t xml:space="preserve"> 《</w:t>
      </w:r>
      <w:r>
        <w:rPr>
          <w:b/>
          <w:sz w:val="24"/>
          <w:szCs w:val="24"/>
        </w:rPr>
        <w:t>电机学</w:t>
      </w:r>
      <w:r>
        <w:rPr>
          <w:rFonts w:hint="eastAsia"/>
          <w:b/>
          <w:sz w:val="24"/>
          <w:szCs w:val="24"/>
        </w:rPr>
        <w:t xml:space="preserve">》 </w:t>
      </w:r>
      <w:r>
        <w:rPr>
          <w:b/>
          <w:sz w:val="24"/>
          <w:szCs w:val="24"/>
        </w:rPr>
        <w:t>高等教育出版社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000200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BB"/>
    <w:rsid w:val="000114C4"/>
    <w:rsid w:val="00055407"/>
    <w:rsid w:val="00056F5A"/>
    <w:rsid w:val="0007148D"/>
    <w:rsid w:val="0009447A"/>
    <w:rsid w:val="000A7BC3"/>
    <w:rsid w:val="000B0C26"/>
    <w:rsid w:val="000B78DF"/>
    <w:rsid w:val="000C5FC1"/>
    <w:rsid w:val="000E698F"/>
    <w:rsid w:val="000F1B50"/>
    <w:rsid w:val="00167180"/>
    <w:rsid w:val="001C7DC8"/>
    <w:rsid w:val="001D71C1"/>
    <w:rsid w:val="001E2459"/>
    <w:rsid w:val="001F29EF"/>
    <w:rsid w:val="00283810"/>
    <w:rsid w:val="0029045E"/>
    <w:rsid w:val="002A7741"/>
    <w:rsid w:val="002F3451"/>
    <w:rsid w:val="00307C7C"/>
    <w:rsid w:val="00312D39"/>
    <w:rsid w:val="00312F17"/>
    <w:rsid w:val="00333D7A"/>
    <w:rsid w:val="003360E9"/>
    <w:rsid w:val="00381818"/>
    <w:rsid w:val="00384C21"/>
    <w:rsid w:val="00391BA2"/>
    <w:rsid w:val="00392766"/>
    <w:rsid w:val="003A17EB"/>
    <w:rsid w:val="003A6EEB"/>
    <w:rsid w:val="003B11FA"/>
    <w:rsid w:val="003B70B2"/>
    <w:rsid w:val="003C1115"/>
    <w:rsid w:val="003C1765"/>
    <w:rsid w:val="003C6578"/>
    <w:rsid w:val="003F10D9"/>
    <w:rsid w:val="00411C9E"/>
    <w:rsid w:val="00460D58"/>
    <w:rsid w:val="004D565D"/>
    <w:rsid w:val="004F1222"/>
    <w:rsid w:val="005005CC"/>
    <w:rsid w:val="005012A7"/>
    <w:rsid w:val="00515129"/>
    <w:rsid w:val="00522B3F"/>
    <w:rsid w:val="00533118"/>
    <w:rsid w:val="00533488"/>
    <w:rsid w:val="00536C00"/>
    <w:rsid w:val="005513C7"/>
    <w:rsid w:val="00584DFC"/>
    <w:rsid w:val="00587FE6"/>
    <w:rsid w:val="00591CE4"/>
    <w:rsid w:val="005B65F7"/>
    <w:rsid w:val="005C7F06"/>
    <w:rsid w:val="005D2D7D"/>
    <w:rsid w:val="005E205B"/>
    <w:rsid w:val="00600528"/>
    <w:rsid w:val="006159C2"/>
    <w:rsid w:val="006305F1"/>
    <w:rsid w:val="00655B05"/>
    <w:rsid w:val="00663B15"/>
    <w:rsid w:val="0066553C"/>
    <w:rsid w:val="0067004A"/>
    <w:rsid w:val="00692A1C"/>
    <w:rsid w:val="006976BE"/>
    <w:rsid w:val="006A27E9"/>
    <w:rsid w:val="006A43A1"/>
    <w:rsid w:val="006B768C"/>
    <w:rsid w:val="0071455B"/>
    <w:rsid w:val="007163C3"/>
    <w:rsid w:val="00775580"/>
    <w:rsid w:val="00783A34"/>
    <w:rsid w:val="00796EDE"/>
    <w:rsid w:val="007A5FB6"/>
    <w:rsid w:val="007B06FD"/>
    <w:rsid w:val="007B1D30"/>
    <w:rsid w:val="007C18BC"/>
    <w:rsid w:val="007C53E0"/>
    <w:rsid w:val="007D2AA9"/>
    <w:rsid w:val="007D2BB5"/>
    <w:rsid w:val="0080331C"/>
    <w:rsid w:val="008146BD"/>
    <w:rsid w:val="008262DD"/>
    <w:rsid w:val="00892922"/>
    <w:rsid w:val="008E6B59"/>
    <w:rsid w:val="00916ADB"/>
    <w:rsid w:val="0096630D"/>
    <w:rsid w:val="00970638"/>
    <w:rsid w:val="00985315"/>
    <w:rsid w:val="009A331B"/>
    <w:rsid w:val="009C2C70"/>
    <w:rsid w:val="009C38A0"/>
    <w:rsid w:val="009C6D4E"/>
    <w:rsid w:val="009E3CD6"/>
    <w:rsid w:val="009F0950"/>
    <w:rsid w:val="00A0019D"/>
    <w:rsid w:val="00A169EC"/>
    <w:rsid w:val="00A205D6"/>
    <w:rsid w:val="00A47682"/>
    <w:rsid w:val="00A824BC"/>
    <w:rsid w:val="00AA1F3E"/>
    <w:rsid w:val="00AB41E3"/>
    <w:rsid w:val="00AC23CE"/>
    <w:rsid w:val="00AC7B31"/>
    <w:rsid w:val="00AD4A69"/>
    <w:rsid w:val="00AE0583"/>
    <w:rsid w:val="00AE7DA8"/>
    <w:rsid w:val="00B12E66"/>
    <w:rsid w:val="00B36FA5"/>
    <w:rsid w:val="00B37A0B"/>
    <w:rsid w:val="00B37D22"/>
    <w:rsid w:val="00B416E0"/>
    <w:rsid w:val="00B85D2B"/>
    <w:rsid w:val="00B97CEA"/>
    <w:rsid w:val="00BA07E8"/>
    <w:rsid w:val="00BC67E5"/>
    <w:rsid w:val="00BD714F"/>
    <w:rsid w:val="00BF17BB"/>
    <w:rsid w:val="00C24B91"/>
    <w:rsid w:val="00C259BA"/>
    <w:rsid w:val="00C44E58"/>
    <w:rsid w:val="00C62F4E"/>
    <w:rsid w:val="00C804EB"/>
    <w:rsid w:val="00CA14B5"/>
    <w:rsid w:val="00CA42AD"/>
    <w:rsid w:val="00CA72CF"/>
    <w:rsid w:val="00CC0C81"/>
    <w:rsid w:val="00CE3474"/>
    <w:rsid w:val="00D06467"/>
    <w:rsid w:val="00D178E7"/>
    <w:rsid w:val="00D24576"/>
    <w:rsid w:val="00D4399A"/>
    <w:rsid w:val="00D6251D"/>
    <w:rsid w:val="00D71270"/>
    <w:rsid w:val="00DA2EA1"/>
    <w:rsid w:val="00DB166A"/>
    <w:rsid w:val="00DB783E"/>
    <w:rsid w:val="00DC1CD3"/>
    <w:rsid w:val="00DC5219"/>
    <w:rsid w:val="00DD573B"/>
    <w:rsid w:val="00DE1220"/>
    <w:rsid w:val="00DF0FEE"/>
    <w:rsid w:val="00DF494C"/>
    <w:rsid w:val="00E118A3"/>
    <w:rsid w:val="00E30649"/>
    <w:rsid w:val="00E35610"/>
    <w:rsid w:val="00E35A40"/>
    <w:rsid w:val="00E36D31"/>
    <w:rsid w:val="00E46102"/>
    <w:rsid w:val="00E57B16"/>
    <w:rsid w:val="00E73BB6"/>
    <w:rsid w:val="00E957AC"/>
    <w:rsid w:val="00EC0848"/>
    <w:rsid w:val="00EC3B20"/>
    <w:rsid w:val="00F01A5F"/>
    <w:rsid w:val="00F11EE7"/>
    <w:rsid w:val="00F3347D"/>
    <w:rsid w:val="00F56632"/>
    <w:rsid w:val="00F84D63"/>
    <w:rsid w:val="00FA374D"/>
    <w:rsid w:val="00FA7F17"/>
    <w:rsid w:val="00FD2D64"/>
    <w:rsid w:val="00FD7F2F"/>
    <w:rsid w:val="00FF2A1D"/>
    <w:rsid w:val="00FF3739"/>
    <w:rsid w:val="00FF4482"/>
    <w:rsid w:val="6C2B19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widowControl w:val="0"/>
      <w:spacing w:line="360" w:lineRule="auto"/>
      <w:ind w:left="360" w:hanging="360" w:hangingChars="150"/>
      <w:jc w:val="both"/>
    </w:pPr>
    <w:rPr>
      <w:kern w:val="2"/>
      <w:sz w:val="24"/>
      <w:szCs w:val="24"/>
    </w:rPr>
  </w:style>
  <w:style w:type="paragraph" w:styleId="3">
    <w:name w:val="Plain Text"/>
    <w:basedOn w:val="1"/>
    <w:uiPriority w:val="0"/>
    <w:pPr>
      <w:widowControl w:val="0"/>
      <w:jc w:val="both"/>
    </w:pPr>
    <w:rPr>
      <w:rFonts w:ascii="楷体_GB2312" w:hAnsi="Courier New" w:eastAsia="楷体_GB2312"/>
      <w:bCs/>
      <w:color w:val="000000"/>
      <w:kern w:val="2"/>
      <w:sz w:val="21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wBefore w:w="0" w:type="auto"/>
    </w:trPr>
  </w:style>
  <w:style w:type="paragraph" w:customStyle="1" w:styleId="10">
    <w:name w:val="简单回函地址"/>
    <w:basedOn w:val="1"/>
    <w:uiPriority w:val="0"/>
    <w:pPr>
      <w:widowControl w:val="0"/>
      <w:jc w:val="both"/>
    </w:pPr>
    <w:rPr>
      <w:kern w:val="2"/>
      <w:sz w:val="21"/>
    </w:rPr>
  </w:style>
  <w:style w:type="paragraph" w:customStyle="1" w:styleId="11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  <w:style w:type="paragraph" w:customStyle="1" w:styleId="12">
    <w:name w:val="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  <w:style w:type="character" w:customStyle="1" w:styleId="13">
    <w:name w:val="页眉 Char"/>
    <w:link w:val="5"/>
    <w:uiPriority w:val="0"/>
    <w:rPr>
      <w:sz w:val="18"/>
      <w:szCs w:val="18"/>
    </w:rPr>
  </w:style>
  <w:style w:type="character" w:customStyle="1" w:styleId="14">
    <w:name w:val="页脚 Char"/>
    <w:link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2020-08-20T03:39:00Z</dcterms:created>
  <dc:creator>雨林木风</dc:creator>
  <cp:lastModifiedBy>vertesyuan</cp:lastModifiedBy>
  <dcterms:modified xsi:type="dcterms:W3CDTF">2021-10-22T08:43:14Z</dcterms:modified>
  <dc:title>2009年硕士研究生入学考试初试考试大纲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