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sz w:val="28"/>
          <w:szCs w:val="28"/>
        </w:rPr>
      </w:pPr>
      <w:bookmarkStart w:id="1" w:name="_GoBack"/>
      <w:bookmarkEnd w:id="1"/>
      <w:bookmarkStart w:id="0" w:name="_GoBack"/>
      <w:bookmarkEnd w:id="0"/>
      <w:r>
        <w:rPr>
          <w:rFonts w:hint="eastAsia" w:ascii="华文中宋" w:hAnsi="华文中宋" w:eastAsia="华文中宋"/>
          <w:sz w:val="28"/>
          <w:szCs w:val="28"/>
        </w:rPr>
        <w:t>上海应用技术大学硕士研究生入学</w:t>
      </w:r>
      <w:r>
        <w:rPr>
          <w:rFonts w:hint="eastAsia" w:ascii="黑体" w:eastAsia="黑体" w:cs="黑体"/>
          <w:sz w:val="28"/>
          <w:szCs w:val="28"/>
        </w:rPr>
        <w:t>考试大纲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《机械设计基础》</w:t>
      </w:r>
    </w:p>
    <w:p>
      <w:pPr>
        <w:rPr>
          <w:rFonts w:hint="eastAsia" w:ascii="黑体"/>
        </w:rPr>
      </w:pPr>
      <w:r>
        <w:rPr>
          <w:rFonts w:hint="eastAsia" w:ascii="黑体" w:eastAsia="黑体"/>
        </w:rPr>
        <w:t>科目名称</w:t>
      </w:r>
      <w:r>
        <w:rPr>
          <w:rFonts w:hint="eastAsia" w:ascii="黑体"/>
        </w:rPr>
        <w:t>：机械设计基础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>适用专业：电子信息</w:t>
      </w:r>
    </w:p>
    <w:p>
      <w:pPr>
        <w:rPr>
          <w:rFonts w:hint="eastAsia"/>
        </w:rPr>
      </w:pPr>
      <w:r>
        <w:rPr>
          <w:rFonts w:hint="eastAsia" w:eastAsia="黑体"/>
        </w:rPr>
        <w:t>参考书目：</w:t>
      </w:r>
      <w:r>
        <w:rPr>
          <w:rFonts w:hint="eastAsia" w:ascii="宋体"/>
        </w:rPr>
        <w:t>《机械设计基础》第四版，黄华梁 彭文生，高等教育出版社，200</w:t>
      </w:r>
      <w:r>
        <w:rPr>
          <w:rFonts w:ascii="宋体"/>
        </w:rPr>
        <w:t>7</w:t>
      </w:r>
    </w:p>
    <w:p>
      <w:pPr>
        <w:spacing w:line="360" w:lineRule="exact"/>
        <w:rPr>
          <w:rFonts w:hint="eastAsia" w:eastAsia="黑体"/>
        </w:rPr>
      </w:pPr>
      <w:r>
        <w:rPr>
          <w:rFonts w:hint="eastAsia" w:eastAsia="黑体"/>
        </w:rPr>
        <w:t>考试时间：3小时</w:t>
      </w:r>
    </w:p>
    <w:p>
      <w:pPr>
        <w:spacing w:line="360" w:lineRule="exact"/>
        <w:rPr>
          <w:rFonts w:hint="eastAsia" w:eastAsia="黑体"/>
        </w:rPr>
      </w:pPr>
      <w:r>
        <w:rPr>
          <w:rFonts w:hint="eastAsia" w:eastAsia="黑体"/>
        </w:rPr>
        <w:t>考试方式：笔试</w:t>
      </w:r>
    </w:p>
    <w:p>
      <w:pPr>
        <w:spacing w:line="360" w:lineRule="exact"/>
        <w:rPr>
          <w:rFonts w:hint="eastAsia" w:eastAsia="黑体"/>
        </w:rPr>
      </w:pPr>
      <w:r>
        <w:rPr>
          <w:rFonts w:hint="eastAsia" w:eastAsia="黑体"/>
        </w:rPr>
        <w:t>题型：选择；判断；简答；计算；综合。</w:t>
      </w:r>
    </w:p>
    <w:p>
      <w:pPr>
        <w:pStyle w:val="14"/>
        <w:spacing w:line="360" w:lineRule="auto"/>
        <w:ind w:firstLine="0" w:firstLineChars="0"/>
        <w:jc w:val="left"/>
        <w:rPr>
          <w:rFonts w:eastAsia="黑体"/>
        </w:rPr>
      </w:pPr>
      <w:r>
        <w:rPr>
          <w:rFonts w:hint="eastAsia" w:eastAsia="黑体"/>
        </w:rPr>
        <w:t>总分：150分</w:t>
      </w:r>
    </w:p>
    <w:p>
      <w:pPr>
        <w:spacing w:line="360" w:lineRule="exact"/>
        <w:rPr>
          <w:rFonts w:eastAsia="黑体"/>
        </w:rPr>
      </w:pPr>
      <w:r>
        <w:rPr>
          <w:rFonts w:hint="eastAsia" w:eastAsia="黑体"/>
        </w:rPr>
        <w:t>考试要求：考生自备必要的计算和作图工具，如计算器、三角板、量角器、圆规等。</w:t>
      </w:r>
    </w:p>
    <w:p>
      <w:pPr>
        <w:pStyle w:val="14"/>
        <w:spacing w:line="360" w:lineRule="auto"/>
        <w:ind w:firstLine="0" w:firstLineChars="0"/>
        <w:jc w:val="left"/>
        <w:rPr>
          <w:rFonts w:hint="eastAsia" w:ascii="黑体" w:eastAsia="黑体" w:cs="黑体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考试范围：</w:t>
      </w:r>
    </w:p>
    <w:p>
      <w:pPr>
        <w:pStyle w:val="4"/>
        <w:spacing w:after="0" w:line="288" w:lineRule="auto"/>
        <w:ind w:left="0" w:leftChars="0"/>
        <w:jc w:val="left"/>
        <w:rPr>
          <w:color w:val="FF0000"/>
        </w:rPr>
      </w:pPr>
      <w:r>
        <w:rPr>
          <w:rFonts w:hint="eastAsia" w:cs="宋体"/>
        </w:rPr>
        <w:t>（一）</w:t>
      </w:r>
      <w:r>
        <w:rPr>
          <w:rFonts w:hint="eastAsia" w:cs="宋体"/>
          <w:lang w:eastAsia="zh-CN"/>
        </w:rPr>
        <w:t>机械传动设计</w:t>
      </w:r>
    </w:p>
    <w:p>
      <w:pPr>
        <w:pStyle w:val="4"/>
        <w:spacing w:after="0" w:line="288" w:lineRule="auto"/>
        <w:ind w:left="0" w:leftChars="0" w:firstLine="480" w:firstLineChars="200"/>
        <w:jc w:val="left"/>
      </w:pPr>
      <w:r>
        <w:t>1</w:t>
      </w:r>
      <w:r>
        <w:rPr>
          <w:rFonts w:hint="eastAsia" w:cs="宋体"/>
        </w:rPr>
        <w:t>．</w:t>
      </w:r>
      <w:r>
        <w:rPr>
          <w:rFonts w:hint="eastAsia" w:cs="宋体"/>
          <w:lang w:eastAsia="zh-CN"/>
        </w:rPr>
        <w:t>机械系统的运动简图设计</w:t>
      </w:r>
      <w:r>
        <w:t xml:space="preserve"> </w:t>
      </w:r>
    </w:p>
    <w:p>
      <w:pPr>
        <w:widowControl/>
        <w:ind w:firstLine="420" w:firstLineChars="200"/>
        <w:jc w:val="left"/>
      </w:pPr>
      <w:r>
        <w:rPr>
          <w:rFonts w:hint="eastAsia"/>
          <w:bCs/>
        </w:rPr>
        <w:t>机器、机构</w:t>
      </w:r>
      <w:r>
        <w:rPr>
          <w:rFonts w:hint="eastAsia"/>
        </w:rPr>
        <w:t>的概念；</w:t>
      </w:r>
      <w:r>
        <w:rPr>
          <w:rFonts w:hint="eastAsia"/>
          <w:bCs/>
        </w:rPr>
        <w:t>机构的组成；平面运动副的一般表示方法；</w:t>
      </w:r>
    </w:p>
    <w:p>
      <w:pPr>
        <w:widowControl/>
        <w:ind w:firstLine="420" w:firstLineChars="200"/>
        <w:jc w:val="left"/>
        <w:rPr>
          <w:bCs/>
        </w:rPr>
      </w:pPr>
      <w:r>
        <w:rPr>
          <w:rFonts w:hint="eastAsia"/>
          <w:bCs/>
        </w:rPr>
        <w:t>机构具有确定运动的条件；平面机构自由度计算的方法；</w:t>
      </w:r>
    </w:p>
    <w:p>
      <w:pPr>
        <w:widowControl/>
        <w:ind w:firstLine="420" w:firstLineChars="200"/>
        <w:jc w:val="left"/>
        <w:rPr>
          <w:rFonts w:hint="eastAsia"/>
          <w:bCs/>
        </w:rPr>
      </w:pPr>
      <w:r>
        <w:rPr>
          <w:rFonts w:hint="eastAsia"/>
          <w:bCs/>
        </w:rPr>
        <w:t>能识别复合铰链、局部自由度、最常见的虚约束；能看懂和绘制平面机构运动简图。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lang w:eastAsia="zh-CN"/>
        </w:rPr>
      </w:pPr>
      <w:r>
        <w:t>2</w:t>
      </w:r>
      <w:r>
        <w:rPr>
          <w:rFonts w:hint="eastAsia" w:cs="宋体"/>
        </w:rPr>
        <w:t>．</w:t>
      </w:r>
      <w:r>
        <w:rPr>
          <w:rFonts w:hint="eastAsia" w:cs="宋体"/>
          <w:lang w:eastAsia="zh-CN"/>
        </w:rPr>
        <w:t>平面连杆机构设计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铰链四杆机构的基本形式、应用和演化；四杆机构曲柄存在的条件；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曲柄摇杆机构和曲柄滑块机构的急回特性；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rFonts w:hint="eastAsia"/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极位夹角、行程速比系数、传动角、压力角、死点等基本概念；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rFonts w:hint="eastAsia"/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按行程速比系数设计四杆机构的作图方法。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cs="宋体"/>
          <w:lang w:eastAsia="zh-CN"/>
        </w:rPr>
      </w:pPr>
      <w:r>
        <w:rPr>
          <w:rFonts w:hint="eastAsia" w:cs="宋体"/>
          <w:lang w:eastAsia="zh-CN"/>
        </w:rPr>
        <w:t xml:space="preserve">3. 凸轮机构设计 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凸轮机构的分类和特点；从动件常用运动规律及其特点；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凸轮轮廓曲线反转法设计的基本原理；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按给定运动规律绘制或计算凸轮轮廓的基本方法；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rFonts w:hint="eastAsia"/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滚子半径的选择原则，基圆半径对压力角的影响，压力角与自锁的关系。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cs="宋体"/>
          <w:lang w:eastAsia="zh-CN"/>
        </w:rPr>
      </w:pPr>
      <w:r>
        <w:rPr>
          <w:rFonts w:hint="eastAsia" w:cs="宋体"/>
          <w:lang w:eastAsia="zh-CN"/>
        </w:rPr>
        <w:t>4. 常用步进传动机构设计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常用间歇运动机构的类型、组成及运动转换过程。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cs="宋体"/>
          <w:lang w:eastAsia="zh-CN"/>
        </w:rPr>
      </w:pPr>
      <w:r>
        <w:rPr>
          <w:rFonts w:hint="eastAsia" w:cs="宋体"/>
          <w:lang w:eastAsia="zh-CN"/>
        </w:rPr>
        <w:t>5</w:t>
      </w:r>
      <w:r>
        <w:rPr>
          <w:rFonts w:cs="宋体"/>
          <w:lang w:eastAsia="zh-CN"/>
        </w:rPr>
        <w:t xml:space="preserve">. </w:t>
      </w:r>
      <w:r>
        <w:rPr>
          <w:rFonts w:hint="eastAsia" w:cs="宋体"/>
          <w:lang w:eastAsia="zh-CN"/>
        </w:rPr>
        <w:t>齿轮传动设计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齿轮机构的传动特点；渐开线特性；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渐开线直齿圆柱齿轮的啮合传动，正确啮合条件，中心距可分性及啮合角；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标准直齿圆柱齿轮的基本参数、几何尺寸计算；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轮齿的切削加工方法；根切现象和不产生根切最少齿数；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齿轮传动的主要失效形式及计算准则；齿轮常用材料；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rFonts w:hint="eastAsia"/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齿轮传动的强度计算、设计参数的确定和选择；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斜齿圆柱齿轮的基本参数与几何尺寸计算；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斜齿圆柱齿轮传动的正确啮合条件；斜齿圆柱齿轮的当量齿轮与当量齿数；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斜齿圆柱齿轮传动的主要优缺点；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rFonts w:hint="eastAsia"/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圆锥齿轮的基本参数；直齿圆锥齿轮的当量齿轮及当量齿数，传动比计算及转向确定。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cs="宋体"/>
          <w:lang w:eastAsia="zh-CN"/>
        </w:rPr>
      </w:pPr>
      <w:r>
        <w:rPr>
          <w:rFonts w:hint="eastAsia" w:cs="宋体"/>
          <w:lang w:eastAsia="zh-CN"/>
        </w:rPr>
        <w:t>6</w:t>
      </w:r>
      <w:r>
        <w:rPr>
          <w:rFonts w:cs="宋体"/>
          <w:lang w:eastAsia="zh-CN"/>
        </w:rPr>
        <w:t xml:space="preserve">. </w:t>
      </w:r>
      <w:r>
        <w:rPr>
          <w:rFonts w:hint="eastAsia" w:cs="宋体"/>
          <w:lang w:eastAsia="zh-CN"/>
        </w:rPr>
        <w:t>蜗杆传动设计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蜗杆传动及其特点；普通圆柱蜗杆传动的主要参数及几何尺寸；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rFonts w:hint="eastAsia"/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蜗杆蜗轮正确啮合条件；蜗杆传动的蜗轮转向判断、传动比计算。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cs="宋体"/>
          <w:lang w:eastAsia="zh-CN"/>
        </w:rPr>
      </w:pPr>
      <w:r>
        <w:rPr>
          <w:rFonts w:hint="eastAsia" w:cs="宋体"/>
          <w:lang w:eastAsia="zh-CN"/>
        </w:rPr>
        <w:t>7</w:t>
      </w:r>
      <w:r>
        <w:rPr>
          <w:rFonts w:cs="宋体"/>
          <w:lang w:eastAsia="zh-CN"/>
        </w:rPr>
        <w:t xml:space="preserve">. </w:t>
      </w:r>
      <w:r>
        <w:rPr>
          <w:rFonts w:hint="eastAsia" w:cs="宋体"/>
          <w:lang w:eastAsia="zh-CN"/>
        </w:rPr>
        <w:t>轮系分析与设计</w:t>
      </w:r>
    </w:p>
    <w:p>
      <w:pPr>
        <w:widowControl/>
        <w:ind w:firstLine="420" w:firstLineChars="200"/>
        <w:jc w:val="left"/>
        <w:rPr>
          <w:bCs/>
        </w:rPr>
      </w:pPr>
      <w:r>
        <w:rPr>
          <w:rFonts w:hint="eastAsia"/>
          <w:bCs/>
        </w:rPr>
        <w:t>定轴轮系（包含圆锥齿轮或蜗轮蜗杆）传动比的计算；</w:t>
      </w:r>
    </w:p>
    <w:p>
      <w:pPr>
        <w:widowControl/>
        <w:ind w:firstLine="420" w:firstLineChars="200"/>
        <w:jc w:val="left"/>
        <w:rPr>
          <w:rFonts w:hint="eastAsia"/>
          <w:bCs/>
        </w:rPr>
      </w:pPr>
      <w:r>
        <w:rPr>
          <w:rFonts w:hint="eastAsia"/>
          <w:bCs/>
        </w:rPr>
        <w:t>简单周转轮系传动比的计算。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 xml:space="preserve">. </w:t>
      </w:r>
      <w:r>
        <w:rPr>
          <w:rFonts w:hint="eastAsia" w:cs="宋体"/>
          <w:lang w:eastAsia="zh-CN"/>
        </w:rPr>
        <w:t>挠性传动设计</w:t>
      </w:r>
    </w:p>
    <w:p>
      <w:pPr>
        <w:widowControl/>
        <w:ind w:firstLine="420" w:firstLineChars="200"/>
        <w:jc w:val="left"/>
        <w:rPr>
          <w:bCs/>
        </w:rPr>
      </w:pPr>
      <w:r>
        <w:rPr>
          <w:rFonts w:hint="eastAsia"/>
          <w:bCs/>
        </w:rPr>
        <w:t>带传动的类型、组成、工作原理和特点；V带截面尺寸、型号，带轮结构形式；</w:t>
      </w:r>
    </w:p>
    <w:p>
      <w:pPr>
        <w:widowControl/>
        <w:ind w:firstLine="420" w:firstLineChars="200"/>
        <w:jc w:val="left"/>
        <w:rPr>
          <w:bCs/>
        </w:rPr>
      </w:pPr>
      <w:r>
        <w:rPr>
          <w:rFonts w:hint="eastAsia"/>
          <w:bCs/>
        </w:rPr>
        <w:t>带传动的工作情况分析：受力分析、应力分析、运动分析（弹性滑动、打滑）；</w:t>
      </w:r>
    </w:p>
    <w:p>
      <w:pPr>
        <w:widowControl/>
        <w:ind w:firstLine="420" w:firstLineChars="200"/>
        <w:jc w:val="left"/>
        <w:rPr>
          <w:rFonts w:hint="eastAsia"/>
          <w:bCs/>
        </w:rPr>
      </w:pPr>
      <w:r>
        <w:rPr>
          <w:rFonts w:hint="eastAsia"/>
          <w:bCs/>
        </w:rPr>
        <w:t>带传动的主要失效形式和设计准则；带传动的设计方法和步骤；带传动的的布置和张紧；</w:t>
      </w:r>
    </w:p>
    <w:p>
      <w:pPr>
        <w:pStyle w:val="4"/>
        <w:spacing w:after="0" w:line="288" w:lineRule="auto"/>
        <w:ind w:left="0" w:leftChars="0" w:firstLine="420" w:firstLineChars="200"/>
        <w:jc w:val="left"/>
        <w:rPr>
          <w:rFonts w:hint="eastAsia"/>
          <w:bCs/>
          <w:kern w:val="2"/>
          <w:sz w:val="21"/>
          <w:szCs w:val="21"/>
          <w:lang w:val="en-US" w:eastAsia="zh-CN"/>
        </w:rPr>
      </w:pPr>
      <w:r>
        <w:rPr>
          <w:rFonts w:hint="eastAsia"/>
          <w:bCs/>
          <w:kern w:val="2"/>
          <w:sz w:val="21"/>
          <w:szCs w:val="21"/>
          <w:lang w:val="en-US" w:eastAsia="zh-CN"/>
        </w:rPr>
        <w:t>链传动的组成及工作原理；链传动的特点和应用；链条的节距、链节数与链轮齿数；链传动的运动特性和动载荷；滚子链传动的主要失效形式。</w:t>
      </w:r>
    </w:p>
    <w:p>
      <w:pPr>
        <w:pStyle w:val="4"/>
        <w:spacing w:after="0" w:line="288" w:lineRule="auto"/>
        <w:ind w:left="0" w:leftChars="0"/>
        <w:jc w:val="left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（二）机件的连接设计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hint="eastAsia"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. 螺纹连接设计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螺纹的主要参数；常用螺纹的类型；</w:t>
      </w:r>
    </w:p>
    <w:p>
      <w:pPr>
        <w:widowControl/>
        <w:ind w:firstLine="420" w:firstLineChars="200"/>
        <w:jc w:val="left"/>
      </w:pPr>
      <w:r>
        <w:rPr>
          <w:rFonts w:hint="eastAsia"/>
          <w:bCs/>
        </w:rPr>
        <w:t>螺纹联接</w:t>
      </w:r>
      <w:r>
        <w:rPr>
          <w:rFonts w:hint="eastAsia"/>
        </w:rPr>
        <w:t>的基本类型、特点、应用场合；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螺纹联接的预紧和防松；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螺栓联接的失效形式和设计准则；</w:t>
      </w: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螺栓联接的</w:t>
      </w:r>
      <w:r>
        <w:rPr>
          <w:rFonts w:hint="eastAsia"/>
          <w:bCs/>
        </w:rPr>
        <w:t>强度计算</w:t>
      </w:r>
      <w:r>
        <w:rPr>
          <w:rFonts w:hint="eastAsia"/>
        </w:rPr>
        <w:t>(受轴向载荷的螺栓联接：松螺栓联接、紧螺栓联接；受横向载荷的螺栓联接：普通螺栓联接、铰制孔用螺栓联接)。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hint="eastAsia" w:cs="宋体"/>
          <w:lang w:eastAsia="zh-CN"/>
        </w:rPr>
      </w:pPr>
      <w:r>
        <w:rPr>
          <w:rFonts w:cs="宋体"/>
          <w:lang w:eastAsia="zh-CN"/>
        </w:rPr>
        <w:t>2</w:t>
      </w:r>
      <w:r>
        <w:rPr>
          <w:rFonts w:hint="eastAsia" w:cs="宋体"/>
          <w:lang w:eastAsia="zh-CN"/>
        </w:rPr>
        <w:t>. 键连接和销连接设计：</w:t>
      </w: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平键联接的类型、特点；普通平键的类型；平键联接的失效形式、设计方法及步骤。</w:t>
      </w:r>
    </w:p>
    <w:p>
      <w:pPr>
        <w:pStyle w:val="4"/>
        <w:spacing w:after="0" w:line="288" w:lineRule="auto"/>
        <w:ind w:left="0" w:leftChars="0"/>
        <w:jc w:val="left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（三）轴系零部件设计</w:t>
      </w:r>
    </w:p>
    <w:p>
      <w:pPr>
        <w:pStyle w:val="4"/>
        <w:spacing w:after="0" w:line="288" w:lineRule="auto"/>
        <w:ind w:leftChars="0"/>
        <w:jc w:val="left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1. 轴的设计：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轴的分类；轴的材料；轴上零件的定位和固定方法；</w:t>
      </w: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轴的结构设计及轴的强度计算。</w:t>
      </w:r>
    </w:p>
    <w:p>
      <w:pPr>
        <w:pStyle w:val="4"/>
        <w:spacing w:after="0" w:line="288" w:lineRule="auto"/>
        <w:ind w:leftChars="0"/>
        <w:jc w:val="left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2. 滑动轴承设计：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滑动轴承的结构型式、特点；滑动轴承的材料、特点；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非液体摩擦滑动轴承设计，失效形式、工作能力验算。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cs="宋体"/>
          <w:lang w:eastAsia="zh-CN"/>
        </w:rPr>
      </w:pPr>
      <w:r>
        <w:rPr>
          <w:rFonts w:hint="eastAsia" w:cs="宋体"/>
          <w:lang w:eastAsia="zh-CN"/>
        </w:rPr>
        <w:t>3．滚动轴承及其装置设计：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滚动轴承的结构、类型和代号；滚动轴承的类型选择；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滚动轴承的主要失效形式和设计准则；滚动轴承的寿命计算；轴承当量动载荷的计算；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滚动轴承组合结构；</w:t>
      </w: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滚动轴承与滑动轴承性能比较；轴承的润滑。</w:t>
      </w:r>
    </w:p>
    <w:p>
      <w:pPr>
        <w:pStyle w:val="4"/>
        <w:spacing w:after="0" w:line="288" w:lineRule="auto"/>
        <w:ind w:left="0" w:leftChars="0" w:firstLine="480" w:firstLineChars="200"/>
        <w:jc w:val="left"/>
        <w:rPr>
          <w:rFonts w:cs="宋体"/>
          <w:lang w:eastAsia="zh-CN"/>
        </w:rPr>
      </w:pPr>
      <w:r>
        <w:rPr>
          <w:rFonts w:cs="宋体"/>
          <w:lang w:eastAsia="zh-CN"/>
        </w:rPr>
        <w:t xml:space="preserve">4. </w:t>
      </w:r>
      <w:r>
        <w:rPr>
          <w:rFonts w:hint="eastAsia" w:cs="宋体"/>
          <w:lang w:eastAsia="zh-CN"/>
        </w:rPr>
        <w:t>联轴器、离合器和制动器：</w:t>
      </w: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联轴器的常见类型、特点和应用场合。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8"/>
    <w:rsid w:val="00006A81"/>
    <w:rsid w:val="00014CD8"/>
    <w:rsid w:val="00041EE5"/>
    <w:rsid w:val="00042043"/>
    <w:rsid w:val="00043317"/>
    <w:rsid w:val="00057BD9"/>
    <w:rsid w:val="0006276F"/>
    <w:rsid w:val="00071524"/>
    <w:rsid w:val="000A3D80"/>
    <w:rsid w:val="000C1858"/>
    <w:rsid w:val="000F488C"/>
    <w:rsid w:val="00107F32"/>
    <w:rsid w:val="00114FD2"/>
    <w:rsid w:val="001229C4"/>
    <w:rsid w:val="00123F24"/>
    <w:rsid w:val="00194FE6"/>
    <w:rsid w:val="001A218C"/>
    <w:rsid w:val="001F4CFC"/>
    <w:rsid w:val="00200655"/>
    <w:rsid w:val="002437C6"/>
    <w:rsid w:val="0029557C"/>
    <w:rsid w:val="002A3B29"/>
    <w:rsid w:val="002B12A7"/>
    <w:rsid w:val="002B19C5"/>
    <w:rsid w:val="002B7BA3"/>
    <w:rsid w:val="002C2686"/>
    <w:rsid w:val="002D1568"/>
    <w:rsid w:val="00303249"/>
    <w:rsid w:val="00315D73"/>
    <w:rsid w:val="00331B4E"/>
    <w:rsid w:val="00340E3E"/>
    <w:rsid w:val="003446A1"/>
    <w:rsid w:val="00382CE4"/>
    <w:rsid w:val="003B4B90"/>
    <w:rsid w:val="003B598D"/>
    <w:rsid w:val="0042185C"/>
    <w:rsid w:val="0043188D"/>
    <w:rsid w:val="00451F46"/>
    <w:rsid w:val="00476E85"/>
    <w:rsid w:val="004D4E41"/>
    <w:rsid w:val="004D77F7"/>
    <w:rsid w:val="004E3D23"/>
    <w:rsid w:val="004F234E"/>
    <w:rsid w:val="005029EA"/>
    <w:rsid w:val="005053E7"/>
    <w:rsid w:val="00506EF0"/>
    <w:rsid w:val="00523A79"/>
    <w:rsid w:val="00537292"/>
    <w:rsid w:val="005677DA"/>
    <w:rsid w:val="005706AE"/>
    <w:rsid w:val="005922AD"/>
    <w:rsid w:val="00596C9C"/>
    <w:rsid w:val="00614BFA"/>
    <w:rsid w:val="00622172"/>
    <w:rsid w:val="00643BA0"/>
    <w:rsid w:val="0067223E"/>
    <w:rsid w:val="00682F93"/>
    <w:rsid w:val="006A14BF"/>
    <w:rsid w:val="006C1CAD"/>
    <w:rsid w:val="006F1937"/>
    <w:rsid w:val="00707C15"/>
    <w:rsid w:val="0071348A"/>
    <w:rsid w:val="007268AF"/>
    <w:rsid w:val="00731D11"/>
    <w:rsid w:val="00771811"/>
    <w:rsid w:val="00787C3B"/>
    <w:rsid w:val="007E60E8"/>
    <w:rsid w:val="0082563D"/>
    <w:rsid w:val="00874200"/>
    <w:rsid w:val="008C0D49"/>
    <w:rsid w:val="008D1244"/>
    <w:rsid w:val="008D3B5C"/>
    <w:rsid w:val="008E08BB"/>
    <w:rsid w:val="008E299B"/>
    <w:rsid w:val="008E5A79"/>
    <w:rsid w:val="00966CB9"/>
    <w:rsid w:val="00997847"/>
    <w:rsid w:val="009C2E7A"/>
    <w:rsid w:val="009E6649"/>
    <w:rsid w:val="00A070F2"/>
    <w:rsid w:val="00A24C9C"/>
    <w:rsid w:val="00A449A1"/>
    <w:rsid w:val="00A555F7"/>
    <w:rsid w:val="00A56383"/>
    <w:rsid w:val="00AA29C9"/>
    <w:rsid w:val="00AC664E"/>
    <w:rsid w:val="00B25AA1"/>
    <w:rsid w:val="00B34E05"/>
    <w:rsid w:val="00B45300"/>
    <w:rsid w:val="00B51F65"/>
    <w:rsid w:val="00BC03B9"/>
    <w:rsid w:val="00BD6329"/>
    <w:rsid w:val="00BD6906"/>
    <w:rsid w:val="00C2422D"/>
    <w:rsid w:val="00C36705"/>
    <w:rsid w:val="00C4306B"/>
    <w:rsid w:val="00C6780D"/>
    <w:rsid w:val="00C86AA0"/>
    <w:rsid w:val="00CB0E4E"/>
    <w:rsid w:val="00CC3115"/>
    <w:rsid w:val="00D03288"/>
    <w:rsid w:val="00D24F88"/>
    <w:rsid w:val="00D46E5A"/>
    <w:rsid w:val="00D8319E"/>
    <w:rsid w:val="00DA17EB"/>
    <w:rsid w:val="00DA190D"/>
    <w:rsid w:val="00DA4BCA"/>
    <w:rsid w:val="00DB1112"/>
    <w:rsid w:val="00DB4625"/>
    <w:rsid w:val="00DB5665"/>
    <w:rsid w:val="00DC7A69"/>
    <w:rsid w:val="00DD1C4E"/>
    <w:rsid w:val="00DF621A"/>
    <w:rsid w:val="00DF6E68"/>
    <w:rsid w:val="00E40D80"/>
    <w:rsid w:val="00E62B48"/>
    <w:rsid w:val="00E65636"/>
    <w:rsid w:val="00E800DB"/>
    <w:rsid w:val="00EA753A"/>
    <w:rsid w:val="00EC0A6E"/>
    <w:rsid w:val="00ED32F0"/>
    <w:rsid w:val="00F06256"/>
    <w:rsid w:val="00F11BF6"/>
    <w:rsid w:val="00F1606E"/>
    <w:rsid w:val="00F552A9"/>
    <w:rsid w:val="00F6709D"/>
    <w:rsid w:val="00F945E8"/>
    <w:rsid w:val="00FA12EB"/>
    <w:rsid w:val="00FD275E"/>
    <w:rsid w:val="00FD465D"/>
    <w:rsid w:val="64EB2949"/>
    <w:rsid w:val="6E804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link w:val="21"/>
    <w:semiHidden/>
    <w:uiPriority w:val="99"/>
    <w:pPr>
      <w:spacing w:after="120"/>
      <w:ind w:left="420" w:leftChars="200"/>
    </w:pPr>
    <w:rPr>
      <w:kern w:val="0"/>
      <w:sz w:val="24"/>
      <w:szCs w:val="24"/>
    </w:rPr>
  </w:style>
  <w:style w:type="paragraph" w:styleId="4">
    <w:name w:val="Body Text Indent 2"/>
    <w:basedOn w:val="1"/>
    <w:link w:val="20"/>
    <w:uiPriority w:val="99"/>
    <w:pPr>
      <w:spacing w:after="120" w:line="480" w:lineRule="auto"/>
      <w:ind w:left="420" w:leftChars="200"/>
    </w:pPr>
    <w:rPr>
      <w:kern w:val="0"/>
      <w:sz w:val="24"/>
      <w:szCs w:val="24"/>
    </w:rPr>
  </w:style>
  <w:style w:type="paragraph" w:styleId="5">
    <w:name w:val="Balloon Text"/>
    <w:basedOn w:val="1"/>
    <w:link w:val="19"/>
    <w:semiHidden/>
    <w:uiPriority w:val="99"/>
    <w:rPr>
      <w:kern w:val="0"/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footnote text"/>
    <w:basedOn w:val="1"/>
    <w:link w:val="22"/>
    <w:semiHidden/>
    <w:unhideWhenUsed/>
    <w:uiPriority w:val="99"/>
    <w:pPr>
      <w:snapToGrid w:val="0"/>
      <w:jc w:val="left"/>
    </w:pPr>
    <w:rPr>
      <w:kern w:val="0"/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 w:line="400" w:lineRule="exact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99"/>
    <w:rPr>
      <w:rFonts w:cs="Calibri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2 Char"/>
    <w:link w:val="2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6">
    <w:name w:val="页眉 Char"/>
    <w:link w:val="7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link w:val="6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styleId="18">
    <w:name w:val="Placeholder Text"/>
    <w:semiHidden/>
    <w:uiPriority w:val="99"/>
    <w:rPr>
      <w:color w:val="808080"/>
    </w:rPr>
  </w:style>
  <w:style w:type="character" w:customStyle="1" w:styleId="19">
    <w:name w:val="批注框文本 Char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2 Char"/>
    <w:link w:val="4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正文文本缩进 Char"/>
    <w:link w:val="3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脚注文本 Char"/>
    <w:link w:val="8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236</Words>
  <Characters>1351</Characters>
  <Lines>11</Lines>
  <Paragraphs>3</Paragraphs>
  <TotalTime>0</TotalTime>
  <ScaleCrop>false</ScaleCrop>
  <LinksUpToDate>false</LinksUpToDate>
  <CharactersWithSpaces>1584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2021-10-09T02:32:00Z</dcterms:created>
  <dc:creator>刘胤杰</dc:creator>
  <cp:lastModifiedBy>vertesyuan</cp:lastModifiedBy>
  <cp:lastPrinted>2013-05-09T00:57:00Z</cp:lastPrinted>
  <dcterms:modified xsi:type="dcterms:W3CDTF">2021-10-22T07:01:40Z</dcterms:modified>
  <dc:title>《    》课程教学大纲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