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黑体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Style w:val="12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科目代码：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840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                                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科目名称：</w:t>
      </w:r>
      <w:r>
        <w:rPr>
          <w:rFonts w:hint="eastAsia" w:ascii="Times New Roman" w:hAnsi="Times New Roman" w:eastAsia="宋体" w:cs="宋体"/>
          <w:b/>
          <w:bCs/>
          <w:sz w:val="24"/>
          <w:szCs w:val="24"/>
          <w:lang w:eastAsia="zh-CN"/>
        </w:rPr>
        <w:t>当代中国政府与政治</w:t>
      </w:r>
    </w:p>
    <w:p>
      <w:pPr>
        <w:pStyle w:val="2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>一、考查目标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1.系统掌握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当代我国政府与政治</w:t>
      </w:r>
      <w:r>
        <w:rPr>
          <w:rFonts w:hint="eastAsia" w:ascii="宋体" w:hAnsi="宋体" w:eastAsia="宋体" w:cs="宋体"/>
          <w:sz w:val="24"/>
          <w:szCs w:val="24"/>
        </w:rPr>
        <w:t>基本概念、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发展脉络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主要职权与相互关系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我国政府与政治运作的机理</w:t>
      </w:r>
      <w:r>
        <w:rPr>
          <w:rFonts w:hint="eastAsia" w:ascii="宋体" w:hAnsi="宋体" w:eastAsia="宋体" w:cs="宋体"/>
          <w:sz w:val="24"/>
          <w:szCs w:val="24"/>
        </w:rPr>
        <w:t>、过程、原则和方法。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3.能运用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政治学</w:t>
      </w:r>
      <w:r>
        <w:rPr>
          <w:rFonts w:hint="eastAsia" w:ascii="宋体" w:hAnsi="宋体" w:eastAsia="宋体" w:cs="宋体"/>
          <w:sz w:val="24"/>
          <w:szCs w:val="24"/>
        </w:rPr>
        <w:t>的基本理论和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规范</w:t>
      </w:r>
      <w:r>
        <w:rPr>
          <w:rFonts w:hint="eastAsia" w:ascii="宋体" w:hAnsi="宋体" w:eastAsia="宋体" w:cs="宋体"/>
          <w:sz w:val="24"/>
          <w:szCs w:val="24"/>
        </w:rPr>
        <w:t>来分析和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认识我国政治制度基本概略、运作过程、和运行规范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p>
      <w:pPr>
        <w:pStyle w:val="2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>二、考试形式与试卷结构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</w:t>
      </w:r>
      <w:r>
        <w:rPr>
          <w:rFonts w:ascii="宋体" w:hAnsi="宋体" w:eastAsia="宋体" w:cs="宋体"/>
          <w:sz w:val="24"/>
          <w:szCs w:val="24"/>
        </w:rPr>
        <w:t>150</w:t>
      </w:r>
      <w:r>
        <w:rPr>
          <w:rFonts w:hint="eastAsia" w:ascii="宋体" w:hAnsi="宋体" w:eastAsia="宋体" w:cs="宋体"/>
          <w:sz w:val="24"/>
          <w:szCs w:val="24"/>
        </w:rPr>
        <w:t>分，考试时间为</w:t>
      </w:r>
      <w:r>
        <w:rPr>
          <w:rFonts w:ascii="宋体" w:hAnsi="宋体" w:eastAsia="宋体" w:cs="宋体"/>
          <w:sz w:val="24"/>
          <w:szCs w:val="24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试卷内容结构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当代中国政府与政治</w:t>
      </w:r>
      <w:r>
        <w:rPr>
          <w:rFonts w:hint="eastAsia" w:ascii="宋体" w:hAnsi="宋体" w:eastAsia="宋体" w:cs="宋体"/>
          <w:sz w:val="24"/>
          <w:szCs w:val="24"/>
        </w:rPr>
        <w:t>》占比总分的</w:t>
      </w:r>
      <w:r>
        <w:rPr>
          <w:rFonts w:ascii="宋体" w:hAnsi="宋体" w:eastAsia="宋体" w:cs="宋体"/>
          <w:sz w:val="24"/>
          <w:szCs w:val="24"/>
        </w:rPr>
        <w:t>100%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试卷题型结构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名词解释题、简答题、论述题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>三、考查范围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（注：以“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”表示命题热度，分三个等级，“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”越多表示往年命题热度越高）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导论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 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一、一般意义的政府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二、国家机构的政府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三、非国家机构的政府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政治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 马克思主义政治观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二、中外历史上的政治观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三、中外近现代的政治观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四、当代中国学者的政治观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中国政府与政治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一、当代中国政府与政治的演进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三、中国政府与政治的研究方向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四、中国政府与政治研究的意义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中国政府与政治研究方法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一、方法论：发展与脉络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二、质性方法与案例分析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三、定量方法的四个方向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第一章 宪法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宪法的演进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一、“五四宪法”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四、“八二宪法”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宪法的结构与功能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一、宪法的结构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二、宪法的功能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宪法的性质、原则和特点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一、宪法的性质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二、宪法的原则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三、宪法的特点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宪法对国家制度和公民权利的规定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一、国家政治制度和政府组织原则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二、公民的基本权利和义务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第二章 执政党与政党体制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中国政党制度发展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一、中国政党制度演进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二、中国政党制度的基本特征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中国共产党领导下的多党合作制度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一、执政党与参政党关系的变迁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二、多党合作：形式与途径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三、多党合作制度：完善与发展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中西政党制度比较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一、中西政党理论比较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二、利益表达与利益代表功能比较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三、利益统合功能比较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四、执政绩效功能比较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五、政党制度与国家竞争力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第三章 立法机关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人民代表大会的代表和代表团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一、人民代表大会的地位和作用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二、人民代表大会代表的选举特点和程序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三、人民代表大会代表的权利与义务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四、人民代表大会代表团的职权职责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全国人民代表大会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一、全国人民代表大会的组织机构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二、全国人民代表大会的职权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地方各级人民代表大会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人民代表大会的会议形式与议事程序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第四章 国家元首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国家元首的历史发展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一、国家元首的概念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二、中国国家元首制度的历史演进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国家主席的地位与职权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一、国家主席的地位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二、国家主席的职权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国家主席的产生和任期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一、国家主席的产生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二、国家主席的任期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第五章 中央政府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国务院的法律地位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一、最高国家权力机关的执行机关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二、最高国家行政机关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国务院的机构设置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一、国务院机构设置沿革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二、国务院现行机构设置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国务院的职权配置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一、国务院的领导体制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二、总理的产生与任期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三、国务院的职权配置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行政体制改革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一、行政体制改革的总体目标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二、行政体制改革的具体目标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三、行政体制改革的动力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第六章 地方政府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地方行政建制沿革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一、1949—1954年的四级建制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二、1954—1966年的三级建制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四、改革开放以来的地方建制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省级人民政府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市级人民政府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县级人民政府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四、城市居民委员会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第六节 民族区域自治政府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一、民族区域自治的历史沿革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二、民族区域自治政府的设置原则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三、民族区域自治政府的地位和机构设置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四、民族区域自治政府的自治权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第七节 特别行政区政府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一、“一国两制”构想与特别行政区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二、特别行政区行政长官及其职权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三、特别行政区行政机关及其职权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第七章 府际关系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府际关系的历史变迁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一、封建王朝的府际关系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二、民国时期的府际关系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三、新中国的府际关系抉择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四、改革开放以来的府际关系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构建中央选择性集权体制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一、中国府际关系的现实问题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二、实施中央选择性集权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推进地方分权改革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一、完善制度化分权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二、推进地方自治建设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三、完善府际合作治理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地方行政体制改革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三、市县关系与“省管县”改革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第八章 司法机关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司法机关的沿革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一、改革开放前的司法机关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二、改革开放后的司法机关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人民法院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一、人民法院的组成与机构设置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二、人民法院的职权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三、人民法院的工作原则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人民检察院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 人民检察院的组成与机构设置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 人民检察院的职权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 地方人大与地方司法机关之间的关系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司法程序与司法原则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 诉讼程序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 非诉讼程序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 司法原则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第五节 司法改革与司法公正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一、司法改革目标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二、司法改革措施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第九章 人民政协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人民政协的发展过程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一、人民政协的诞生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三、改革开放以后的人民政协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人民政协的性质与组织机构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一、人民政协的性质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二、人民政协的组织机构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人民政协的主要职能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一、政治协商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二、民主监督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三、参政议政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人民政协的改革与发展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一、理论争论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二、人民政协的改革与发展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第十章 社会治理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社会治理的理论分析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一、社会治理的相关理论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二、社会治理的主要特征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三、中国社会治理的理论发展与实践推进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村民自治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一、村民自治的产生和发展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二、村民自治的组织结构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三、村民自治的内容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四、村民自治的梗阻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居民自治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一、居民自治的形成和发展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二、居民委员会与居民代表会议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三、居民自治模式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四、居民自治的问题分析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第四节 第三部门与社会治理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一、第三部门的概念与分类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二、第三部门的必要性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三、中国第三部门与社会治理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第十一章 政府创新与政府发展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政府创新、政府发展与政府能力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一、政府创新与政府发展的内涵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二、政府创新与政府能力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政府发展：中国特色的区域治理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一、区域治理的理论发展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二、区域治理形态发展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三、中国特色区域治理体制创新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政府发展：信息时代背景下的公共政策建构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一、公共政策建构的理论发展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二、信息时代背景下的公共政策建构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第十二章 政治改革与政治发展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中国政治体制改革进程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一、20世纪80年代的中国政治体制改革</w:t>
      </w:r>
      <w:r>
        <w:rPr>
          <w:rFonts w:ascii="宋体" w:hAnsi="宋体" w:eastAsia="宋体" w:cs="宋体"/>
          <w:b/>
          <w:bCs/>
          <w:sz w:val="24"/>
          <w:szCs w:val="24"/>
        </w:rPr>
        <w:t>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二、20世纪80年代以后的中国政治体制改革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政治改革与政治发展：内涵与目标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一、政治体制与政治改革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二、政治改革与政治发展</w:t>
      </w:r>
      <w:r>
        <w:rPr>
          <w:rFonts w:ascii="宋体" w:hAnsi="宋体" w:eastAsia="宋体" w:cs="宋体"/>
          <w:b/>
          <w:bCs/>
          <w:sz w:val="24"/>
          <w:szCs w:val="24"/>
        </w:rPr>
        <w:t>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三、中国政治改革的内容和政治发展的目标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当代中国民主与法治建设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一、人民民主与党内民主的发展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二、中国特色的法治建设</w:t>
      </w:r>
      <w:r>
        <w:rPr>
          <w:rFonts w:ascii="宋体" w:hAnsi="宋体" w:eastAsia="宋体" w:cs="宋体"/>
          <w:b/>
          <w:bCs/>
          <w:sz w:val="24"/>
          <w:szCs w:val="24"/>
        </w:rPr>
        <w:t>***</w:t>
      </w:r>
    </w:p>
    <w:p>
      <w:pPr>
        <w:pStyle w:val="2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主要参考书目</w:t>
      </w:r>
      <w:r>
        <w:rPr>
          <w:rFonts w:ascii="宋体" w:hAnsi="宋体" w:eastAsia="宋体" w:cs="宋体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谢庆奎主编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当代中国政府与政治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（第三版）高等教育</w:t>
      </w:r>
      <w:r>
        <w:rPr>
          <w:rFonts w:hint="eastAsia" w:ascii="宋体" w:hAnsi="宋体" w:eastAsia="宋体" w:cs="宋体"/>
          <w:sz w:val="24"/>
          <w:szCs w:val="24"/>
        </w:rPr>
        <w:t>出版社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8261B"/>
    <w:multiLevelType w:val="singleLevel"/>
    <w:tmpl w:val="A7C8261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7"/>
    <w:rsid w:val="00002494"/>
    <w:rsid w:val="00010A8B"/>
    <w:rsid w:val="00015758"/>
    <w:rsid w:val="00030AF8"/>
    <w:rsid w:val="00056AAF"/>
    <w:rsid w:val="00064357"/>
    <w:rsid w:val="00067758"/>
    <w:rsid w:val="000830C8"/>
    <w:rsid w:val="000850BF"/>
    <w:rsid w:val="00097F75"/>
    <w:rsid w:val="000B31D8"/>
    <w:rsid w:val="000B7931"/>
    <w:rsid w:val="000B7EA3"/>
    <w:rsid w:val="000F2393"/>
    <w:rsid w:val="00102525"/>
    <w:rsid w:val="001051EC"/>
    <w:rsid w:val="00112FC6"/>
    <w:rsid w:val="00115608"/>
    <w:rsid w:val="00123018"/>
    <w:rsid w:val="001404A8"/>
    <w:rsid w:val="001466F4"/>
    <w:rsid w:val="0015296C"/>
    <w:rsid w:val="00152DBF"/>
    <w:rsid w:val="00195129"/>
    <w:rsid w:val="001B3207"/>
    <w:rsid w:val="001B45AD"/>
    <w:rsid w:val="001B6C22"/>
    <w:rsid w:val="001B794B"/>
    <w:rsid w:val="001B7C8D"/>
    <w:rsid w:val="001C527C"/>
    <w:rsid w:val="001D0AC1"/>
    <w:rsid w:val="0020561F"/>
    <w:rsid w:val="0021113C"/>
    <w:rsid w:val="002123EA"/>
    <w:rsid w:val="002229CB"/>
    <w:rsid w:val="00234700"/>
    <w:rsid w:val="00247DC2"/>
    <w:rsid w:val="002513D1"/>
    <w:rsid w:val="002540D6"/>
    <w:rsid w:val="00260544"/>
    <w:rsid w:val="002710EA"/>
    <w:rsid w:val="00283B3D"/>
    <w:rsid w:val="002841BC"/>
    <w:rsid w:val="00284F69"/>
    <w:rsid w:val="00295BD8"/>
    <w:rsid w:val="002972CA"/>
    <w:rsid w:val="002A669A"/>
    <w:rsid w:val="002C008C"/>
    <w:rsid w:val="002C25D4"/>
    <w:rsid w:val="002C4D95"/>
    <w:rsid w:val="002D3189"/>
    <w:rsid w:val="002E10A5"/>
    <w:rsid w:val="002E6805"/>
    <w:rsid w:val="002F4F0B"/>
    <w:rsid w:val="00313E0A"/>
    <w:rsid w:val="00321B5D"/>
    <w:rsid w:val="00343F85"/>
    <w:rsid w:val="00364A80"/>
    <w:rsid w:val="00364B44"/>
    <w:rsid w:val="00364C79"/>
    <w:rsid w:val="00376565"/>
    <w:rsid w:val="00377D20"/>
    <w:rsid w:val="00381C72"/>
    <w:rsid w:val="00385EAE"/>
    <w:rsid w:val="003B2F4D"/>
    <w:rsid w:val="003B43E2"/>
    <w:rsid w:val="003C0B5E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B7FCD"/>
    <w:rsid w:val="004D3B79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2D55"/>
    <w:rsid w:val="00532DCC"/>
    <w:rsid w:val="0053510A"/>
    <w:rsid w:val="00547F6B"/>
    <w:rsid w:val="00552441"/>
    <w:rsid w:val="005678EB"/>
    <w:rsid w:val="0057443D"/>
    <w:rsid w:val="00592943"/>
    <w:rsid w:val="005D1ED6"/>
    <w:rsid w:val="005F4CEB"/>
    <w:rsid w:val="005F4E02"/>
    <w:rsid w:val="00600320"/>
    <w:rsid w:val="006011BF"/>
    <w:rsid w:val="006075CF"/>
    <w:rsid w:val="00612062"/>
    <w:rsid w:val="00615C3C"/>
    <w:rsid w:val="006235E3"/>
    <w:rsid w:val="00632DB7"/>
    <w:rsid w:val="00644965"/>
    <w:rsid w:val="006552A3"/>
    <w:rsid w:val="00657F44"/>
    <w:rsid w:val="00672A4B"/>
    <w:rsid w:val="00675322"/>
    <w:rsid w:val="0068069F"/>
    <w:rsid w:val="00684628"/>
    <w:rsid w:val="006858CF"/>
    <w:rsid w:val="006905E2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05FF5"/>
    <w:rsid w:val="0070718C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47A90"/>
    <w:rsid w:val="00760757"/>
    <w:rsid w:val="007620D1"/>
    <w:rsid w:val="00775565"/>
    <w:rsid w:val="00786446"/>
    <w:rsid w:val="007939F6"/>
    <w:rsid w:val="007A619B"/>
    <w:rsid w:val="007A73DF"/>
    <w:rsid w:val="007B224B"/>
    <w:rsid w:val="007B2AE3"/>
    <w:rsid w:val="007C2AEC"/>
    <w:rsid w:val="007C4E47"/>
    <w:rsid w:val="007D590D"/>
    <w:rsid w:val="007D7762"/>
    <w:rsid w:val="007E6980"/>
    <w:rsid w:val="007F0616"/>
    <w:rsid w:val="007F45E9"/>
    <w:rsid w:val="00801595"/>
    <w:rsid w:val="0080213D"/>
    <w:rsid w:val="00802FE8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A2F0C"/>
    <w:rsid w:val="008A5D71"/>
    <w:rsid w:val="008A5F3B"/>
    <w:rsid w:val="008A68BC"/>
    <w:rsid w:val="008B6790"/>
    <w:rsid w:val="008D0E30"/>
    <w:rsid w:val="008E625E"/>
    <w:rsid w:val="008F45C6"/>
    <w:rsid w:val="008F7095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D7942"/>
    <w:rsid w:val="00AF35D4"/>
    <w:rsid w:val="00B011A0"/>
    <w:rsid w:val="00B13BAE"/>
    <w:rsid w:val="00B166CA"/>
    <w:rsid w:val="00B24A63"/>
    <w:rsid w:val="00B328B7"/>
    <w:rsid w:val="00B40D0C"/>
    <w:rsid w:val="00B61242"/>
    <w:rsid w:val="00B6246D"/>
    <w:rsid w:val="00B63DB8"/>
    <w:rsid w:val="00B6471D"/>
    <w:rsid w:val="00B67148"/>
    <w:rsid w:val="00B70252"/>
    <w:rsid w:val="00B706AC"/>
    <w:rsid w:val="00B70B2F"/>
    <w:rsid w:val="00B936DD"/>
    <w:rsid w:val="00BA0BD0"/>
    <w:rsid w:val="00BA5DE7"/>
    <w:rsid w:val="00BB30DF"/>
    <w:rsid w:val="00BC2D6F"/>
    <w:rsid w:val="00BD3128"/>
    <w:rsid w:val="00BE7C54"/>
    <w:rsid w:val="00BF1AF1"/>
    <w:rsid w:val="00C028A2"/>
    <w:rsid w:val="00C045C5"/>
    <w:rsid w:val="00C217C6"/>
    <w:rsid w:val="00C2343A"/>
    <w:rsid w:val="00C26C84"/>
    <w:rsid w:val="00C31CD6"/>
    <w:rsid w:val="00C32C80"/>
    <w:rsid w:val="00C33357"/>
    <w:rsid w:val="00C6031D"/>
    <w:rsid w:val="00C61CF4"/>
    <w:rsid w:val="00C75A77"/>
    <w:rsid w:val="00C77C83"/>
    <w:rsid w:val="00C868CC"/>
    <w:rsid w:val="00C96D96"/>
    <w:rsid w:val="00CA0357"/>
    <w:rsid w:val="00CA0906"/>
    <w:rsid w:val="00CA2154"/>
    <w:rsid w:val="00CE5A32"/>
    <w:rsid w:val="00CE63BA"/>
    <w:rsid w:val="00D01C3F"/>
    <w:rsid w:val="00D070A5"/>
    <w:rsid w:val="00D149A9"/>
    <w:rsid w:val="00D17A1D"/>
    <w:rsid w:val="00D23AF1"/>
    <w:rsid w:val="00D52C1D"/>
    <w:rsid w:val="00D53BC4"/>
    <w:rsid w:val="00D63F8B"/>
    <w:rsid w:val="00D6499F"/>
    <w:rsid w:val="00D7166B"/>
    <w:rsid w:val="00D75570"/>
    <w:rsid w:val="00D7638B"/>
    <w:rsid w:val="00D91562"/>
    <w:rsid w:val="00D91593"/>
    <w:rsid w:val="00D945E6"/>
    <w:rsid w:val="00D96B46"/>
    <w:rsid w:val="00D977CE"/>
    <w:rsid w:val="00DA4D87"/>
    <w:rsid w:val="00DA730C"/>
    <w:rsid w:val="00DD3B38"/>
    <w:rsid w:val="00DF1D9F"/>
    <w:rsid w:val="00DF4ECF"/>
    <w:rsid w:val="00DF4F1D"/>
    <w:rsid w:val="00E0241E"/>
    <w:rsid w:val="00E10602"/>
    <w:rsid w:val="00E16D28"/>
    <w:rsid w:val="00E24441"/>
    <w:rsid w:val="00E32AE5"/>
    <w:rsid w:val="00E44105"/>
    <w:rsid w:val="00E447F4"/>
    <w:rsid w:val="00E776A5"/>
    <w:rsid w:val="00E80410"/>
    <w:rsid w:val="00E84386"/>
    <w:rsid w:val="00E86E38"/>
    <w:rsid w:val="00EA126B"/>
    <w:rsid w:val="00EA2BA7"/>
    <w:rsid w:val="00EA6601"/>
    <w:rsid w:val="00EB0235"/>
    <w:rsid w:val="00EB53B5"/>
    <w:rsid w:val="00EE337A"/>
    <w:rsid w:val="00EE474F"/>
    <w:rsid w:val="00EE7C73"/>
    <w:rsid w:val="00F04155"/>
    <w:rsid w:val="00F22E3E"/>
    <w:rsid w:val="00F242B9"/>
    <w:rsid w:val="00F405AD"/>
    <w:rsid w:val="00F40DB5"/>
    <w:rsid w:val="00F4293B"/>
    <w:rsid w:val="00F504DA"/>
    <w:rsid w:val="00F6793B"/>
    <w:rsid w:val="00F75016"/>
    <w:rsid w:val="00F821F7"/>
    <w:rsid w:val="00F905A1"/>
    <w:rsid w:val="00F93EF6"/>
    <w:rsid w:val="00F9534C"/>
    <w:rsid w:val="00FA3431"/>
    <w:rsid w:val="00FC3FEA"/>
    <w:rsid w:val="00FD4CEB"/>
    <w:rsid w:val="00FD66C6"/>
    <w:rsid w:val="00FE07D2"/>
    <w:rsid w:val="00FF126E"/>
    <w:rsid w:val="00FF2459"/>
    <w:rsid w:val="0553169C"/>
    <w:rsid w:val="0EF6792D"/>
    <w:rsid w:val="11D30694"/>
    <w:rsid w:val="12C02D19"/>
    <w:rsid w:val="165F3DAF"/>
    <w:rsid w:val="1AE818C3"/>
    <w:rsid w:val="1B626746"/>
    <w:rsid w:val="1FB1385B"/>
    <w:rsid w:val="245D3CE1"/>
    <w:rsid w:val="32CA2301"/>
    <w:rsid w:val="33921648"/>
    <w:rsid w:val="49230F10"/>
    <w:rsid w:val="4B1770E8"/>
    <w:rsid w:val="51830D26"/>
    <w:rsid w:val="52935516"/>
    <w:rsid w:val="535E4C95"/>
    <w:rsid w:val="5FD143B1"/>
    <w:rsid w:val="60DC0294"/>
    <w:rsid w:val="623150C3"/>
    <w:rsid w:val="63AA6278"/>
    <w:rsid w:val="64947B54"/>
    <w:rsid w:val="65632414"/>
    <w:rsid w:val="65D101AE"/>
    <w:rsid w:val="68A522E2"/>
    <w:rsid w:val="69424F32"/>
    <w:rsid w:val="720D1298"/>
    <w:rsid w:val="795B036F"/>
    <w:rsid w:val="7AE511EB"/>
    <w:rsid w:val="7B4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等线 Light"/>
      <w:b/>
      <w:bCs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qFormat/>
    <w:uiPriority w:val="99"/>
    <w:pPr>
      <w:jc w:val="left"/>
    </w:pPr>
  </w:style>
  <w:style w:type="paragraph" w:styleId="5">
    <w:name w:val="Plain Text"/>
    <w:basedOn w:val="1"/>
    <w:link w:val="17"/>
    <w:qFormat/>
    <w:uiPriority w:val="99"/>
    <w:rPr>
      <w:rFonts w:ascii="宋体" w:hAnsi="Courier New" w:eastAsia="宋体" w:cs="宋体"/>
      <w:kern w:val="0"/>
      <w:sz w:val="20"/>
      <w:szCs w:val="20"/>
    </w:rPr>
  </w:style>
  <w:style w:type="paragraph" w:styleId="6">
    <w:name w:val="Balloon Text"/>
    <w:basedOn w:val="1"/>
    <w:link w:val="18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locked/>
    <w:uiPriority w:val="0"/>
    <w:rPr>
      <w:b/>
    </w:rPr>
  </w:style>
  <w:style w:type="character" w:styleId="13">
    <w:name w:val="annotation reference"/>
    <w:basedOn w:val="11"/>
    <w:semiHidden/>
    <w:qFormat/>
    <w:uiPriority w:val="99"/>
    <w:rPr>
      <w:sz w:val="21"/>
      <w:szCs w:val="21"/>
    </w:rPr>
  </w:style>
  <w:style w:type="character" w:customStyle="1" w:styleId="14">
    <w:name w:val="Heading 2 Char"/>
    <w:basedOn w:val="11"/>
    <w:link w:val="2"/>
    <w:qFormat/>
    <w:locked/>
    <w:uiPriority w:val="99"/>
    <w:rPr>
      <w:rFonts w:ascii="等线 Light" w:hAnsi="等线 Light" w:eastAsia="等线 Light" w:cs="等线 Light"/>
      <w:b/>
      <w:bCs/>
      <w:kern w:val="2"/>
      <w:sz w:val="32"/>
      <w:szCs w:val="32"/>
    </w:rPr>
  </w:style>
  <w:style w:type="character" w:customStyle="1" w:styleId="15">
    <w:name w:val="Heading 3 Char"/>
    <w:basedOn w:val="11"/>
    <w:link w:val="3"/>
    <w:qFormat/>
    <w:locked/>
    <w:uiPriority w:val="99"/>
    <w:rPr>
      <w:rFonts w:ascii="等线" w:hAnsi="等线" w:eastAsia="等线" w:cs="等线"/>
      <w:b/>
      <w:bCs/>
      <w:kern w:val="2"/>
      <w:sz w:val="32"/>
      <w:szCs w:val="32"/>
    </w:rPr>
  </w:style>
  <w:style w:type="character" w:customStyle="1" w:styleId="16">
    <w:name w:val="Comment Text Char"/>
    <w:basedOn w:val="11"/>
    <w:link w:val="4"/>
    <w:semiHidden/>
    <w:uiPriority w:val="99"/>
    <w:rPr>
      <w:rFonts w:ascii="等线" w:hAnsi="等线" w:eastAsia="等线" w:cs="等线"/>
      <w:szCs w:val="21"/>
    </w:rPr>
  </w:style>
  <w:style w:type="character" w:customStyle="1" w:styleId="17">
    <w:name w:val="Plain Text Char"/>
    <w:basedOn w:val="11"/>
    <w:link w:val="5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8">
    <w:name w:val="Balloon Text Char"/>
    <w:basedOn w:val="11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oter Char"/>
    <w:basedOn w:val="11"/>
    <w:link w:val="7"/>
    <w:locked/>
    <w:uiPriority w:val="99"/>
    <w:rPr>
      <w:sz w:val="18"/>
      <w:szCs w:val="18"/>
    </w:rPr>
  </w:style>
  <w:style w:type="character" w:customStyle="1" w:styleId="20">
    <w:name w:val="Header Char"/>
    <w:basedOn w:val="11"/>
    <w:link w:val="8"/>
    <w:qFormat/>
    <w:locked/>
    <w:uiPriority w:val="99"/>
    <w:rPr>
      <w:sz w:val="18"/>
      <w:szCs w:val="18"/>
    </w:rPr>
  </w:style>
  <w:style w:type="character" w:customStyle="1" w:styleId="21">
    <w:name w:val="页眉 字符"/>
    <w:basedOn w:val="11"/>
    <w:semiHidden/>
    <w:qFormat/>
    <w:uiPriority w:val="99"/>
    <w:rPr>
      <w:sz w:val="18"/>
      <w:szCs w:val="18"/>
    </w:rPr>
  </w:style>
  <w:style w:type="character" w:customStyle="1" w:styleId="22">
    <w:name w:val="页脚 字符"/>
    <w:basedOn w:val="11"/>
    <w:uiPriority w:val="99"/>
    <w:rPr>
      <w:sz w:val="18"/>
      <w:szCs w:val="18"/>
    </w:rPr>
  </w:style>
  <w:style w:type="character" w:customStyle="1" w:styleId="23">
    <w:name w:val="纯文本 字符"/>
    <w:basedOn w:val="11"/>
    <w:semiHidden/>
    <w:qFormat/>
    <w:uiPriority w:val="99"/>
    <w:rPr>
      <w:rFonts w:ascii="等线" w:hAnsi="Courier New" w:cs="等线"/>
    </w:rPr>
  </w:style>
  <w:style w:type="paragraph" w:customStyle="1" w:styleId="24">
    <w:name w:val="_Style 14"/>
    <w:basedOn w:val="1"/>
    <w:next w:val="25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ztext-empty-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337</Words>
  <Characters>1921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2021-10-05T02:14:00Z</dcterms:created>
  <dc:creator>朱 成科</dc:creator>
  <cp:lastModifiedBy>渤海大学 翟先生</cp:lastModifiedBy>
  <cp:lastPrinted>2020-11-09T05:19:00Z</cp:lastPrinted>
  <dcterms:modified xsi:type="dcterms:W3CDTF">2021-10-09T02:05:04Z</dcterms:modified>
  <dc:title>渤海大学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