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/>
          <w:color w:val="000000"/>
          <w:sz w:val="30"/>
          <w:szCs w:val="30"/>
          <w:lang w:bidi="hi-I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40"/>
          <w:szCs w:val="40"/>
          <w:lang w:bidi="hi-IN"/>
        </w:rPr>
        <w:t>202</w:t>
      </w:r>
      <w:r>
        <w:rPr>
          <w:rFonts w:ascii="黑体" w:hAnsi="黑体" w:eastAsia="黑体"/>
          <w:color w:val="000000"/>
          <w:sz w:val="40"/>
          <w:szCs w:val="40"/>
          <w:lang w:bidi="hi-IN"/>
        </w:rPr>
        <w:t>2</w:t>
      </w:r>
      <w:r>
        <w:rPr>
          <w:rFonts w:ascii="黑体" w:hAnsi="黑体" w:eastAsia="黑体"/>
          <w:color w:val="000000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考试科目代码：[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>]               考试科目名称：</w:t>
      </w:r>
      <w:r>
        <w:rPr>
          <w:rFonts w:hint="eastAsia" w:ascii="仿宋" w:hAnsi="仿宋" w:eastAsia="仿宋"/>
          <w:color w:val="000000"/>
          <w:sz w:val="24"/>
        </w:rPr>
        <w:t>发展</w:t>
      </w:r>
      <w:r>
        <w:rPr>
          <w:rFonts w:hint="eastAsia" w:ascii="仿宋" w:hAnsi="仿宋" w:eastAsia="仿宋"/>
          <w:color w:val="000000"/>
          <w:sz w:val="24"/>
          <w:lang w:bidi="hi-IN"/>
        </w:rPr>
        <w:t>经济学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1、试卷成绩及考试时间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本试卷满分为150分，考试时间为120分钟。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2、答题方式：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闭卷、笔试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3、题型结构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论  述  题：5小题，每小题 30分，共150分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  <w:t>●考试目标：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1、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掌握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发展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经济学的基本概念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和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基本理论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2、 了解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发展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经济学的发展现状趋势。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3、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能运用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发展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经济学的理论分析和解决发展中国家特别是我国的经济发展问题。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  <w:t>●考试内容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（一）发展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学概论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发展经济学的广义论与狭义论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的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特征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发展目标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的含义；经济发展的实质；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发展水平的度量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方法；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发展经济学的产生与演进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发展经济学的任务、性质与研究方法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（二）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经济增长理论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经济增长的理论及其发展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发达国家经济增长的经验总结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经济落后的历史分析：劣势抑或优势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经济发展的限制因素与发动因素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（三）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公平与发展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公平发展目标与不平等现象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收人分配问题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贫困问题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增长与公平并重的战略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；中国的收入分配问题；收入分配与经济增长的关系。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（四）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制度与经济发展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什么是制度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制度的需求与供给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制度变迁理论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发展中国家经济发展中的制度问题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（五）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市场与政府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的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作用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对发展计划和市场作用的认识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政府与市场之间的关系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发展中国家的政府职能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发展中国家的寻租及其治理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提升政府能力的战略与途径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（六）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资源与环境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自然资源的开发与利用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环境退化与环境保护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环境与经济发展的关系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可持续发展战略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资源节约型和环境友好型社会建设与经济增长方式的转变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（七）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资本形成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资本形成在经济发展中的作用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储蓄与资本形成的方式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发展中国家的信贷与金融深化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资本形成的效率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（八）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人力资本的开发与利用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人力资本的含义与作用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；人力资本的度量；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人口增长与经济发展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营养和健康与人力资本的形成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教育与人力资本的形成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人力资本形成的战略选择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；人力资本收益率估算。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（九）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技术进步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技术进步的含义与类型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；技术进步在经济增长中的作用；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技术进步的实证测度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技术进步原理：创新与扩散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技术转移与技术引进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技术选择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对外贸易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对外贸易与经济发展的关系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关于发展中国家贸易的理论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发展中国家的贸易战略与政策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经济全球化条件下发展中国家的经济贸易发展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（十一）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外部资源利用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发展中国家为何需要外部资源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外国直接投资的目的、类型及其影响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发展中国家利用外资的经验教训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发展中国家利用外部资源的策略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十二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工业化与结构变动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工业化问题：理论与经验模式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工业化进程中的结构变化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产业结构演变的动因、形态与机制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工业化战略与基础设施投资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第三产业的发展与知识经济的兴起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十三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传统农业的改造与乡村转型发展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农业在工业化进程中的地位与作用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传统农业的改造与农业现代化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农业发展与乡村社会转型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（十四）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乡-城人口流动与城市化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城市发展的动因与城市化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乡-城人口流动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发展中国家的城市化实践与问题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城市化的反思与展望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十五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区域经济发展</w:t>
      </w:r>
    </w:p>
    <w:p>
      <w:pPr>
        <w:spacing w:before="100" w:beforeAutospacing="1" w:after="120"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地理集聚：区位因素与区位理论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传统区域经济发展理论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新型区域发展理论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多元经济与大国区域经济发展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；大国综合优势理论。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363A"/>
    <w:rsid w:val="00027EE0"/>
    <w:rsid w:val="0003131A"/>
    <w:rsid w:val="000369B0"/>
    <w:rsid w:val="000404AC"/>
    <w:rsid w:val="00046D49"/>
    <w:rsid w:val="00052A5D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A543F"/>
    <w:rsid w:val="000C33A1"/>
    <w:rsid w:val="000E35BF"/>
    <w:rsid w:val="000E6F3F"/>
    <w:rsid w:val="001005CD"/>
    <w:rsid w:val="00111AB1"/>
    <w:rsid w:val="001155D2"/>
    <w:rsid w:val="00116C74"/>
    <w:rsid w:val="001330D7"/>
    <w:rsid w:val="0013334D"/>
    <w:rsid w:val="001725C3"/>
    <w:rsid w:val="00181158"/>
    <w:rsid w:val="00186925"/>
    <w:rsid w:val="00190665"/>
    <w:rsid w:val="00194889"/>
    <w:rsid w:val="001A6161"/>
    <w:rsid w:val="001D0A89"/>
    <w:rsid w:val="001D3689"/>
    <w:rsid w:val="001D6E3A"/>
    <w:rsid w:val="001F4532"/>
    <w:rsid w:val="00212456"/>
    <w:rsid w:val="00212566"/>
    <w:rsid w:val="0021792D"/>
    <w:rsid w:val="00230034"/>
    <w:rsid w:val="00236498"/>
    <w:rsid w:val="002373B8"/>
    <w:rsid w:val="002412B0"/>
    <w:rsid w:val="002426BC"/>
    <w:rsid w:val="002504ED"/>
    <w:rsid w:val="00251CBC"/>
    <w:rsid w:val="00255B84"/>
    <w:rsid w:val="00256533"/>
    <w:rsid w:val="00256855"/>
    <w:rsid w:val="00261938"/>
    <w:rsid w:val="00263EE8"/>
    <w:rsid w:val="00265BCC"/>
    <w:rsid w:val="00273341"/>
    <w:rsid w:val="00280327"/>
    <w:rsid w:val="00287726"/>
    <w:rsid w:val="002A1D2E"/>
    <w:rsid w:val="002A4BBD"/>
    <w:rsid w:val="002B1A41"/>
    <w:rsid w:val="002B5AE5"/>
    <w:rsid w:val="002C6E8E"/>
    <w:rsid w:val="002E4FFD"/>
    <w:rsid w:val="002F6261"/>
    <w:rsid w:val="00306DC0"/>
    <w:rsid w:val="00312547"/>
    <w:rsid w:val="00331D6D"/>
    <w:rsid w:val="003419B0"/>
    <w:rsid w:val="00350E2D"/>
    <w:rsid w:val="0035558E"/>
    <w:rsid w:val="00356899"/>
    <w:rsid w:val="00361965"/>
    <w:rsid w:val="00375671"/>
    <w:rsid w:val="00381F12"/>
    <w:rsid w:val="003871B4"/>
    <w:rsid w:val="00397EC5"/>
    <w:rsid w:val="003A4623"/>
    <w:rsid w:val="003B17A3"/>
    <w:rsid w:val="003B500D"/>
    <w:rsid w:val="003D7241"/>
    <w:rsid w:val="003E1869"/>
    <w:rsid w:val="003F5BDB"/>
    <w:rsid w:val="004072EC"/>
    <w:rsid w:val="004131E4"/>
    <w:rsid w:val="00447FC9"/>
    <w:rsid w:val="004717D5"/>
    <w:rsid w:val="0047297F"/>
    <w:rsid w:val="00485ACF"/>
    <w:rsid w:val="00495B89"/>
    <w:rsid w:val="004A4C94"/>
    <w:rsid w:val="004E5087"/>
    <w:rsid w:val="004E693C"/>
    <w:rsid w:val="004F2B32"/>
    <w:rsid w:val="004F36BB"/>
    <w:rsid w:val="004F4767"/>
    <w:rsid w:val="005069B6"/>
    <w:rsid w:val="005253BD"/>
    <w:rsid w:val="00544686"/>
    <w:rsid w:val="005A3949"/>
    <w:rsid w:val="005B2C55"/>
    <w:rsid w:val="005E03E3"/>
    <w:rsid w:val="005E096C"/>
    <w:rsid w:val="005E1552"/>
    <w:rsid w:val="005E5CB7"/>
    <w:rsid w:val="005F39CE"/>
    <w:rsid w:val="005F3C29"/>
    <w:rsid w:val="00602CCC"/>
    <w:rsid w:val="006053B3"/>
    <w:rsid w:val="006058C3"/>
    <w:rsid w:val="00651F88"/>
    <w:rsid w:val="006541B0"/>
    <w:rsid w:val="006577D8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07DD"/>
    <w:rsid w:val="007056C2"/>
    <w:rsid w:val="007149D2"/>
    <w:rsid w:val="0072146D"/>
    <w:rsid w:val="00726B6E"/>
    <w:rsid w:val="00731D72"/>
    <w:rsid w:val="007341F8"/>
    <w:rsid w:val="00750094"/>
    <w:rsid w:val="00755FC7"/>
    <w:rsid w:val="00756BAF"/>
    <w:rsid w:val="0078534B"/>
    <w:rsid w:val="00795265"/>
    <w:rsid w:val="007A10E6"/>
    <w:rsid w:val="007A4B18"/>
    <w:rsid w:val="007A7251"/>
    <w:rsid w:val="007D52ED"/>
    <w:rsid w:val="007E11BB"/>
    <w:rsid w:val="007E45B8"/>
    <w:rsid w:val="007E5579"/>
    <w:rsid w:val="008067F6"/>
    <w:rsid w:val="0083746E"/>
    <w:rsid w:val="0085155E"/>
    <w:rsid w:val="00852EEF"/>
    <w:rsid w:val="00856D27"/>
    <w:rsid w:val="00865771"/>
    <w:rsid w:val="00873234"/>
    <w:rsid w:val="00875922"/>
    <w:rsid w:val="0088452C"/>
    <w:rsid w:val="008861EA"/>
    <w:rsid w:val="008C347D"/>
    <w:rsid w:val="008E3978"/>
    <w:rsid w:val="008E3D20"/>
    <w:rsid w:val="008E4172"/>
    <w:rsid w:val="008F108C"/>
    <w:rsid w:val="008F55BE"/>
    <w:rsid w:val="008F5CA7"/>
    <w:rsid w:val="00912FCF"/>
    <w:rsid w:val="0091463D"/>
    <w:rsid w:val="0092201C"/>
    <w:rsid w:val="00924BB1"/>
    <w:rsid w:val="00932E93"/>
    <w:rsid w:val="00933BA5"/>
    <w:rsid w:val="009364D1"/>
    <w:rsid w:val="00950916"/>
    <w:rsid w:val="00954605"/>
    <w:rsid w:val="0095490F"/>
    <w:rsid w:val="00957FDC"/>
    <w:rsid w:val="00963341"/>
    <w:rsid w:val="00964B39"/>
    <w:rsid w:val="00981116"/>
    <w:rsid w:val="00981531"/>
    <w:rsid w:val="00981B5F"/>
    <w:rsid w:val="009A7BF2"/>
    <w:rsid w:val="009C21CA"/>
    <w:rsid w:val="009C7B1A"/>
    <w:rsid w:val="009D15F9"/>
    <w:rsid w:val="009F7B87"/>
    <w:rsid w:val="00A2167D"/>
    <w:rsid w:val="00A24DE0"/>
    <w:rsid w:val="00A33BE7"/>
    <w:rsid w:val="00A34AFB"/>
    <w:rsid w:val="00A81F8C"/>
    <w:rsid w:val="00A831B2"/>
    <w:rsid w:val="00A86696"/>
    <w:rsid w:val="00A927B5"/>
    <w:rsid w:val="00A93F1E"/>
    <w:rsid w:val="00A97979"/>
    <w:rsid w:val="00AB11D3"/>
    <w:rsid w:val="00AD3BF8"/>
    <w:rsid w:val="00AF7E69"/>
    <w:rsid w:val="00B00093"/>
    <w:rsid w:val="00B52ECD"/>
    <w:rsid w:val="00B62D5D"/>
    <w:rsid w:val="00B64F13"/>
    <w:rsid w:val="00B77F7C"/>
    <w:rsid w:val="00B806D4"/>
    <w:rsid w:val="00B84774"/>
    <w:rsid w:val="00B94BBA"/>
    <w:rsid w:val="00B95084"/>
    <w:rsid w:val="00BA641D"/>
    <w:rsid w:val="00BB0C91"/>
    <w:rsid w:val="00BB293D"/>
    <w:rsid w:val="00BB5CE8"/>
    <w:rsid w:val="00BC25DC"/>
    <w:rsid w:val="00BE1D99"/>
    <w:rsid w:val="00C1033F"/>
    <w:rsid w:val="00C3760E"/>
    <w:rsid w:val="00C42928"/>
    <w:rsid w:val="00C55664"/>
    <w:rsid w:val="00C60278"/>
    <w:rsid w:val="00C60B53"/>
    <w:rsid w:val="00C73154"/>
    <w:rsid w:val="00C7404D"/>
    <w:rsid w:val="00C84187"/>
    <w:rsid w:val="00C86964"/>
    <w:rsid w:val="00C920EA"/>
    <w:rsid w:val="00C93F6C"/>
    <w:rsid w:val="00CA00D4"/>
    <w:rsid w:val="00CA7590"/>
    <w:rsid w:val="00CB3CE4"/>
    <w:rsid w:val="00CB45ED"/>
    <w:rsid w:val="00CB72BA"/>
    <w:rsid w:val="00CB74AE"/>
    <w:rsid w:val="00CC0CEF"/>
    <w:rsid w:val="00CC411A"/>
    <w:rsid w:val="00CD01D2"/>
    <w:rsid w:val="00CD503D"/>
    <w:rsid w:val="00CD63B4"/>
    <w:rsid w:val="00CE7EE4"/>
    <w:rsid w:val="00CF5308"/>
    <w:rsid w:val="00CF61EB"/>
    <w:rsid w:val="00CF6AEA"/>
    <w:rsid w:val="00D01786"/>
    <w:rsid w:val="00D4633B"/>
    <w:rsid w:val="00D46D3E"/>
    <w:rsid w:val="00D5014E"/>
    <w:rsid w:val="00D506E1"/>
    <w:rsid w:val="00D568A1"/>
    <w:rsid w:val="00D62ED6"/>
    <w:rsid w:val="00D67CD6"/>
    <w:rsid w:val="00D91456"/>
    <w:rsid w:val="00D94645"/>
    <w:rsid w:val="00DA0D1B"/>
    <w:rsid w:val="00DA6CD4"/>
    <w:rsid w:val="00DB2E24"/>
    <w:rsid w:val="00DC1DFD"/>
    <w:rsid w:val="00DC3951"/>
    <w:rsid w:val="00DC5F02"/>
    <w:rsid w:val="00DD0490"/>
    <w:rsid w:val="00DE1C92"/>
    <w:rsid w:val="00DE445D"/>
    <w:rsid w:val="00DE7C20"/>
    <w:rsid w:val="00DF040D"/>
    <w:rsid w:val="00DF14D2"/>
    <w:rsid w:val="00E23DEB"/>
    <w:rsid w:val="00E31873"/>
    <w:rsid w:val="00E4469A"/>
    <w:rsid w:val="00E608EA"/>
    <w:rsid w:val="00E65E3D"/>
    <w:rsid w:val="00E708D7"/>
    <w:rsid w:val="00E973C5"/>
    <w:rsid w:val="00EB1965"/>
    <w:rsid w:val="00EC16B1"/>
    <w:rsid w:val="00EC3B4D"/>
    <w:rsid w:val="00EC4525"/>
    <w:rsid w:val="00EE7907"/>
    <w:rsid w:val="00EE7AFF"/>
    <w:rsid w:val="00F12AE1"/>
    <w:rsid w:val="00F2439C"/>
    <w:rsid w:val="00F26268"/>
    <w:rsid w:val="00F2684D"/>
    <w:rsid w:val="00F36A83"/>
    <w:rsid w:val="00F4463F"/>
    <w:rsid w:val="00F7013B"/>
    <w:rsid w:val="00F7181C"/>
    <w:rsid w:val="00F7387A"/>
    <w:rsid w:val="00F82C7E"/>
    <w:rsid w:val="00F94676"/>
    <w:rsid w:val="00F94792"/>
    <w:rsid w:val="00F97D3C"/>
    <w:rsid w:val="00FA2AAD"/>
    <w:rsid w:val="00FA382F"/>
    <w:rsid w:val="00FA6632"/>
    <w:rsid w:val="00FC1F53"/>
    <w:rsid w:val="00FC2245"/>
    <w:rsid w:val="00FC356E"/>
    <w:rsid w:val="00FD3FE2"/>
    <w:rsid w:val="00FD4975"/>
    <w:rsid w:val="00FE4CD9"/>
    <w:rsid w:val="00FE7B04"/>
    <w:rsid w:val="00FF37DE"/>
    <w:rsid w:val="00FF3806"/>
    <w:rsid w:val="00FF652E"/>
    <w:rsid w:val="1F501D27"/>
    <w:rsid w:val="23F84E73"/>
    <w:rsid w:val="386463A7"/>
    <w:rsid w:val="43542E1A"/>
    <w:rsid w:val="6C1B7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rPr>
      <w:sz w:val="20"/>
      <w:szCs w:val="20"/>
    </w:r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2"/>
    <w:unhideWhenUsed/>
    <w:uiPriority w:val="99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nhideWhenUsed/>
    <w:uiPriority w:val="99"/>
    <w:rPr>
      <w:sz w:val="16"/>
      <w:szCs w:val="16"/>
    </w:rPr>
  </w:style>
  <w:style w:type="character" w:customStyle="1" w:styleId="11">
    <w:name w:val="批注文字 字符"/>
    <w:basedOn w:val="8"/>
    <w:link w:val="2"/>
    <w:semiHidden/>
    <w:uiPriority w:val="99"/>
  </w:style>
  <w:style w:type="character" w:customStyle="1" w:styleId="12">
    <w:name w:val="批注主题 字符"/>
    <w:link w:val="6"/>
    <w:semiHidden/>
    <w:uiPriority w:val="99"/>
    <w:rPr>
      <w:b/>
      <w:bCs/>
    </w:rPr>
  </w:style>
  <w:style w:type="character" w:customStyle="1" w:styleId="13">
    <w:name w:val="页脚 字符"/>
    <w:basedOn w:val="8"/>
    <w:link w:val="4"/>
    <w:uiPriority w:val="99"/>
  </w:style>
  <w:style w:type="character" w:customStyle="1" w:styleId="14">
    <w:name w:val="页眉 字符"/>
    <w:basedOn w:val="8"/>
    <w:link w:val="5"/>
    <w:uiPriority w:val="99"/>
  </w:style>
  <w:style w:type="character" w:customStyle="1" w:styleId="15">
    <w:name w:val="批注框文本 字符"/>
    <w:link w:val="3"/>
    <w:semiHidden/>
    <w:uiPriority w:val="99"/>
    <w:rPr>
      <w:rFonts w:asci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2013-09-23T08:24:00Z</dcterms:created>
  <dc:creator>Jianjiang</dc:creator>
  <cp:lastModifiedBy>vertesyuan</cp:lastModifiedBy>
  <dcterms:modified xsi:type="dcterms:W3CDTF">2021-11-26T10:55:49Z</dcterms:modified>
  <dc:title>                       西方经济学部分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