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仿宋" w:hAnsi="仿宋" w:eastAsia="仿宋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color w:val="000000"/>
          <w:sz w:val="40"/>
          <w:szCs w:val="40"/>
        </w:rPr>
        <w:t>202</w:t>
      </w:r>
      <w:r>
        <w:rPr>
          <w:rFonts w:ascii="黑体" w:hAnsi="黑体" w:eastAsia="黑体"/>
          <w:color w:val="000000"/>
          <w:sz w:val="40"/>
          <w:szCs w:val="40"/>
        </w:rPr>
        <w:t>2年硕士研究生入学考试自命题考试大纲</w:t>
      </w:r>
    </w:p>
    <w:p>
      <w:pPr>
        <w:spacing w:line="500" w:lineRule="exact"/>
        <w:jc w:val="center"/>
        <w:rPr>
          <w:rFonts w:hint="eastAsia" w:ascii="仿宋" w:hAnsi="仿宋" w:eastAsia="仿宋"/>
          <w:color w:val="000000"/>
          <w:sz w:val="24"/>
        </w:rPr>
      </w:pPr>
      <w:r>
        <w:rPr>
          <w:rFonts w:ascii="仿宋" w:hAnsi="仿宋" w:eastAsia="仿宋"/>
          <w:color w:val="000000"/>
          <w:sz w:val="24"/>
        </w:rPr>
        <w:t>考试科目代码：[</w:t>
      </w:r>
      <w:r>
        <w:rPr>
          <w:rFonts w:hint="eastAsia" w:ascii="仿宋" w:hAnsi="仿宋" w:eastAsia="仿宋"/>
          <w:color w:val="000000"/>
          <w:sz w:val="24"/>
        </w:rPr>
        <w:t xml:space="preserve"> </w:t>
      </w:r>
      <w:r>
        <w:rPr>
          <w:rFonts w:ascii="仿宋" w:hAnsi="仿宋" w:eastAsia="仿宋"/>
          <w:color w:val="000000"/>
          <w:sz w:val="24"/>
        </w:rPr>
        <w:t>]               考试科目名称：</w:t>
      </w:r>
      <w:r>
        <w:rPr>
          <w:rFonts w:hint="eastAsia" w:ascii="仿宋" w:hAnsi="仿宋" w:eastAsia="仿宋"/>
          <w:color w:val="000000"/>
          <w:sz w:val="24"/>
        </w:rPr>
        <w:t>国际经济学</w:t>
      </w:r>
    </w:p>
    <w:p>
      <w:pPr>
        <w:spacing w:before="120" w:beforeLines="50" w:after="120" w:afterLines="50" w:line="500" w:lineRule="exact"/>
        <w:ind w:firstLine="630" w:firstLineChars="196"/>
        <w:rPr>
          <w:rFonts w:hint="eastAsia"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>一、试卷结构</w:t>
      </w:r>
    </w:p>
    <w:p>
      <w:pPr>
        <w:spacing w:before="120" w:beforeLines="50" w:after="120" w:afterLines="50" w:line="500" w:lineRule="exact"/>
        <w:ind w:firstLine="560" w:firstLineChars="200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1、试卷成绩及考试时间</w:t>
      </w:r>
    </w:p>
    <w:p>
      <w:pPr>
        <w:spacing w:before="120" w:beforeLines="50" w:after="120" w:afterLines="50" w:line="500" w:lineRule="exact"/>
        <w:ind w:firstLine="560" w:firstLineChars="200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  <w:lang w:bidi="hi-IN"/>
        </w:rPr>
        <w:t>本试卷满分为150分，考试时间为120分钟。</w:t>
      </w:r>
    </w:p>
    <w:p>
      <w:pPr>
        <w:tabs>
          <w:tab w:val="center" w:pos="5000"/>
        </w:tabs>
        <w:spacing w:before="120" w:beforeLines="50" w:after="120" w:afterLines="50" w:line="500" w:lineRule="exact"/>
        <w:ind w:firstLine="560" w:firstLineChars="200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2、答题方式：</w:t>
      </w:r>
      <w:r>
        <w:rPr>
          <w:rFonts w:hint="eastAsia" w:ascii="仿宋" w:hAnsi="仿宋" w:eastAsia="仿宋"/>
          <w:color w:val="000000"/>
          <w:sz w:val="28"/>
          <w:szCs w:val="28"/>
          <w:lang w:bidi="hi-IN"/>
        </w:rPr>
        <w:t>闭卷、笔试</w:t>
      </w:r>
      <w:r>
        <w:rPr>
          <w:rFonts w:ascii="仿宋" w:hAnsi="仿宋" w:eastAsia="仿宋"/>
          <w:color w:val="000000"/>
          <w:sz w:val="28"/>
          <w:szCs w:val="28"/>
          <w:lang w:bidi="hi-IN"/>
        </w:rPr>
        <w:tab/>
      </w:r>
    </w:p>
    <w:p>
      <w:pPr>
        <w:spacing w:before="120" w:beforeLines="50" w:after="120" w:afterLines="50" w:line="500" w:lineRule="exact"/>
        <w:ind w:firstLine="560" w:firstLineChars="200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3、题型结构</w:t>
      </w:r>
    </w:p>
    <w:p>
      <w:pPr>
        <w:spacing w:after="0" w:line="500" w:lineRule="exact"/>
        <w:ind w:firstLine="560" w:firstLineChars="200"/>
        <w:rPr>
          <w:rFonts w:hint="eastAsia" w:ascii="仿宋" w:hAnsi="仿宋" w:eastAsia="仿宋"/>
          <w:color w:val="000000"/>
          <w:sz w:val="28"/>
          <w:szCs w:val="28"/>
          <w:lang w:bidi="hi-IN"/>
        </w:rPr>
      </w:pPr>
      <w:r>
        <w:rPr>
          <w:rFonts w:hint="eastAsia" w:ascii="仿宋" w:hAnsi="仿宋" w:eastAsia="仿宋"/>
          <w:color w:val="000000"/>
          <w:sz w:val="28"/>
          <w:szCs w:val="28"/>
          <w:lang w:bidi="hi-IN"/>
        </w:rPr>
        <w:t>简答题：4小题，每小题15分，共60分</w:t>
      </w:r>
    </w:p>
    <w:p>
      <w:pPr>
        <w:spacing w:before="120" w:beforeLines="50" w:after="120" w:afterLines="50" w:line="500" w:lineRule="exact"/>
        <w:ind w:firstLine="560" w:firstLineChars="200"/>
        <w:rPr>
          <w:rFonts w:hint="eastAsia" w:ascii="仿宋" w:hAnsi="仿宋" w:eastAsia="仿宋"/>
          <w:color w:val="000000"/>
          <w:sz w:val="28"/>
          <w:szCs w:val="28"/>
          <w:lang w:bidi="hi-IN"/>
        </w:rPr>
      </w:pPr>
      <w:r>
        <w:rPr>
          <w:rFonts w:hint="eastAsia" w:ascii="仿宋" w:hAnsi="仿宋" w:eastAsia="仿宋"/>
          <w:color w:val="000000"/>
          <w:sz w:val="28"/>
          <w:szCs w:val="28"/>
          <w:lang w:bidi="hi-IN"/>
        </w:rPr>
        <w:t>论述题：3小题，每小题 30分，共90分</w:t>
      </w:r>
    </w:p>
    <w:p>
      <w:pPr>
        <w:spacing w:before="120" w:beforeLines="50" w:after="120" w:afterLines="50" w:line="500" w:lineRule="exact"/>
        <w:ind w:firstLine="630" w:firstLineChars="196"/>
        <w:rPr>
          <w:rFonts w:hint="eastAsia"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>二、考试内容与考试要求</w:t>
      </w:r>
    </w:p>
    <w:p>
      <w:pPr>
        <w:spacing w:line="500" w:lineRule="exact"/>
        <w:ind w:firstLine="480"/>
        <w:rPr>
          <w:rFonts w:hint="eastAsia" w:ascii="仿宋" w:hAnsi="仿宋" w:eastAsia="仿宋"/>
          <w:b/>
          <w:color w:val="000000"/>
          <w:sz w:val="32"/>
          <w:szCs w:val="32"/>
          <w:lang w:bidi="hi-IN"/>
        </w:rPr>
      </w:pPr>
      <w:r>
        <w:rPr>
          <w:rFonts w:hint="eastAsia" w:ascii="仿宋" w:hAnsi="仿宋" w:eastAsia="仿宋"/>
          <w:b/>
          <w:color w:val="000000"/>
          <w:sz w:val="32"/>
          <w:szCs w:val="32"/>
          <w:lang w:bidi="hi-IN"/>
        </w:rPr>
        <w:t>●考试目标：</w:t>
      </w:r>
    </w:p>
    <w:p>
      <w:pPr>
        <w:spacing w:before="120" w:beforeLines="50" w:after="120" w:afterLines="50" w:line="500" w:lineRule="exact"/>
        <w:ind w:firstLine="560" w:firstLineChars="200"/>
        <w:rPr>
          <w:rFonts w:hint="eastAsia" w:ascii="仿宋" w:hAnsi="仿宋" w:eastAsia="仿宋"/>
          <w:color w:val="000000"/>
          <w:sz w:val="28"/>
          <w:szCs w:val="28"/>
          <w:lang w:bidi="hi-IN"/>
        </w:rPr>
      </w:pPr>
      <w:r>
        <w:rPr>
          <w:rFonts w:ascii="仿宋" w:hAnsi="仿宋" w:eastAsia="仿宋"/>
          <w:color w:val="000000"/>
          <w:sz w:val="28"/>
          <w:szCs w:val="28"/>
          <w:lang w:bidi="hi-IN"/>
        </w:rPr>
        <w:t>1、</w:t>
      </w:r>
      <w:r>
        <w:rPr>
          <w:rFonts w:hint="eastAsia" w:ascii="仿宋" w:hAnsi="仿宋" w:eastAsia="仿宋"/>
          <w:color w:val="000000"/>
          <w:sz w:val="28"/>
          <w:szCs w:val="28"/>
          <w:lang w:bidi="hi-IN"/>
        </w:rPr>
        <w:t xml:space="preserve"> </w:t>
      </w:r>
      <w:r>
        <w:rPr>
          <w:rFonts w:ascii="仿宋" w:hAnsi="仿宋" w:eastAsia="仿宋"/>
          <w:color w:val="000000"/>
          <w:sz w:val="28"/>
          <w:szCs w:val="28"/>
          <w:lang w:bidi="hi-IN"/>
        </w:rPr>
        <w:t>掌握</w:t>
      </w:r>
      <w:r>
        <w:rPr>
          <w:rFonts w:hint="eastAsia" w:ascii="仿宋" w:hAnsi="仿宋" w:eastAsia="仿宋"/>
          <w:color w:val="000000"/>
          <w:sz w:val="28"/>
          <w:szCs w:val="28"/>
          <w:lang w:bidi="hi-IN"/>
        </w:rPr>
        <w:t>国际</w:t>
      </w:r>
      <w:r>
        <w:rPr>
          <w:rFonts w:ascii="仿宋" w:hAnsi="仿宋" w:eastAsia="仿宋"/>
          <w:color w:val="000000"/>
          <w:sz w:val="28"/>
          <w:szCs w:val="28"/>
          <w:lang w:bidi="hi-IN"/>
        </w:rPr>
        <w:t>经济学的基本概念</w:t>
      </w:r>
      <w:r>
        <w:rPr>
          <w:rFonts w:hint="eastAsia" w:ascii="仿宋" w:hAnsi="仿宋" w:eastAsia="仿宋"/>
          <w:color w:val="000000"/>
          <w:sz w:val="28"/>
          <w:szCs w:val="28"/>
          <w:lang w:bidi="hi-IN"/>
        </w:rPr>
        <w:t>和</w:t>
      </w:r>
      <w:r>
        <w:rPr>
          <w:rFonts w:ascii="仿宋" w:hAnsi="仿宋" w:eastAsia="仿宋"/>
          <w:color w:val="000000"/>
          <w:sz w:val="28"/>
          <w:szCs w:val="28"/>
          <w:lang w:bidi="hi-IN"/>
        </w:rPr>
        <w:t>基本理论</w:t>
      </w:r>
      <w:r>
        <w:rPr>
          <w:rFonts w:hint="eastAsia" w:ascii="仿宋" w:hAnsi="仿宋" w:eastAsia="仿宋"/>
          <w:color w:val="000000"/>
          <w:sz w:val="28"/>
          <w:szCs w:val="28"/>
          <w:lang w:bidi="hi-IN"/>
        </w:rPr>
        <w:t>。</w:t>
      </w:r>
    </w:p>
    <w:p>
      <w:pPr>
        <w:spacing w:before="120" w:beforeLines="50" w:after="120" w:afterLines="50" w:line="500" w:lineRule="exact"/>
        <w:ind w:firstLine="560" w:firstLineChars="200"/>
        <w:rPr>
          <w:rFonts w:hint="eastAsia" w:ascii="仿宋" w:hAnsi="仿宋" w:eastAsia="仿宋"/>
          <w:color w:val="000000"/>
          <w:sz w:val="28"/>
          <w:szCs w:val="28"/>
          <w:lang w:bidi="hi-IN"/>
        </w:rPr>
      </w:pPr>
      <w:r>
        <w:rPr>
          <w:rFonts w:ascii="仿宋" w:hAnsi="仿宋" w:eastAsia="仿宋"/>
          <w:color w:val="000000"/>
          <w:sz w:val="28"/>
          <w:szCs w:val="28"/>
          <w:lang w:bidi="hi-IN"/>
        </w:rPr>
        <w:t>2、 了解</w:t>
      </w:r>
      <w:r>
        <w:rPr>
          <w:rFonts w:hint="eastAsia" w:ascii="仿宋" w:hAnsi="仿宋" w:eastAsia="仿宋"/>
          <w:color w:val="000000"/>
          <w:sz w:val="28"/>
          <w:szCs w:val="28"/>
          <w:lang w:bidi="hi-IN"/>
        </w:rPr>
        <w:t>国际</w:t>
      </w:r>
      <w:r>
        <w:rPr>
          <w:rFonts w:ascii="仿宋" w:hAnsi="仿宋" w:eastAsia="仿宋"/>
          <w:color w:val="000000"/>
          <w:sz w:val="28"/>
          <w:szCs w:val="28"/>
          <w:lang w:bidi="hi-IN"/>
        </w:rPr>
        <w:t>经济学的发展现状趋势。</w:t>
      </w:r>
    </w:p>
    <w:p>
      <w:pPr>
        <w:spacing w:before="120" w:beforeLines="50" w:after="120" w:afterLines="50" w:line="500" w:lineRule="exact"/>
        <w:ind w:firstLine="560" w:firstLineChars="200"/>
        <w:rPr>
          <w:rFonts w:hint="eastAsia" w:ascii="仿宋" w:hAnsi="仿宋" w:eastAsia="仿宋"/>
          <w:color w:val="000000"/>
          <w:sz w:val="28"/>
          <w:szCs w:val="28"/>
          <w:lang w:bidi="hi-IN"/>
        </w:rPr>
      </w:pPr>
      <w:r>
        <w:rPr>
          <w:rFonts w:ascii="仿宋" w:hAnsi="仿宋" w:eastAsia="仿宋"/>
          <w:color w:val="000000"/>
          <w:sz w:val="28"/>
          <w:szCs w:val="28"/>
          <w:lang w:bidi="hi-IN"/>
        </w:rPr>
        <w:t>3、</w:t>
      </w:r>
      <w:r>
        <w:rPr>
          <w:rFonts w:hint="eastAsia" w:ascii="仿宋" w:hAnsi="仿宋" w:eastAsia="仿宋"/>
          <w:color w:val="000000"/>
          <w:sz w:val="28"/>
          <w:szCs w:val="28"/>
          <w:lang w:bidi="hi-IN"/>
        </w:rPr>
        <w:t xml:space="preserve"> </w:t>
      </w:r>
      <w:r>
        <w:rPr>
          <w:rFonts w:ascii="仿宋" w:hAnsi="仿宋" w:eastAsia="仿宋"/>
          <w:color w:val="000000"/>
          <w:sz w:val="28"/>
          <w:szCs w:val="28"/>
          <w:lang w:bidi="hi-IN"/>
        </w:rPr>
        <w:t>能运用</w:t>
      </w:r>
      <w:r>
        <w:rPr>
          <w:rFonts w:hint="eastAsia" w:ascii="仿宋" w:hAnsi="仿宋" w:eastAsia="仿宋"/>
          <w:color w:val="000000"/>
          <w:sz w:val="28"/>
          <w:szCs w:val="28"/>
          <w:lang w:bidi="hi-IN"/>
        </w:rPr>
        <w:t>国际</w:t>
      </w:r>
      <w:r>
        <w:rPr>
          <w:rFonts w:ascii="仿宋" w:hAnsi="仿宋" w:eastAsia="仿宋"/>
          <w:color w:val="000000"/>
          <w:sz w:val="28"/>
          <w:szCs w:val="28"/>
          <w:lang w:bidi="hi-IN"/>
        </w:rPr>
        <w:t>经济学的理论分析和解决</w:t>
      </w:r>
      <w:r>
        <w:rPr>
          <w:rFonts w:hint="eastAsia" w:ascii="仿宋" w:hAnsi="仿宋" w:eastAsia="仿宋"/>
          <w:color w:val="000000"/>
          <w:sz w:val="28"/>
          <w:szCs w:val="28"/>
          <w:lang w:bidi="hi-IN"/>
        </w:rPr>
        <w:t>当前热门的国际经济问题和开放条件下的我国宏观经济问题</w:t>
      </w:r>
      <w:r>
        <w:rPr>
          <w:rFonts w:ascii="仿宋" w:hAnsi="仿宋" w:eastAsia="仿宋"/>
          <w:color w:val="000000"/>
          <w:sz w:val="28"/>
          <w:szCs w:val="28"/>
          <w:lang w:bidi="hi-IN"/>
        </w:rPr>
        <w:t>。</w:t>
      </w:r>
    </w:p>
    <w:p>
      <w:pPr>
        <w:spacing w:line="500" w:lineRule="exact"/>
        <w:ind w:firstLine="480"/>
        <w:rPr>
          <w:rFonts w:hint="eastAsia" w:ascii="仿宋" w:hAnsi="仿宋" w:eastAsia="仿宋"/>
          <w:b/>
          <w:color w:val="000000"/>
          <w:sz w:val="32"/>
          <w:szCs w:val="32"/>
          <w:lang w:bidi="hi-IN"/>
        </w:rPr>
      </w:pPr>
      <w:r>
        <w:rPr>
          <w:rFonts w:hint="eastAsia" w:ascii="仿宋" w:hAnsi="仿宋" w:eastAsia="仿宋"/>
          <w:b/>
          <w:color w:val="000000"/>
          <w:sz w:val="32"/>
          <w:szCs w:val="32"/>
          <w:lang w:bidi="hi-IN"/>
        </w:rPr>
        <w:t>●考试内容</w:t>
      </w:r>
    </w:p>
    <w:p>
      <w:pPr>
        <w:spacing w:before="100" w:beforeAutospacing="1" w:after="120" w:line="500" w:lineRule="exact"/>
        <w:ind w:firstLine="560" w:firstLineChars="200"/>
        <w:rPr>
          <w:rFonts w:hint="eastAsia" w:ascii="仿宋" w:hAnsi="仿宋" w:eastAsia="仿宋"/>
          <w:color w:val="000000"/>
          <w:sz w:val="28"/>
          <w:szCs w:val="28"/>
          <w:lang w:bidi="hi-IN"/>
        </w:rPr>
      </w:pPr>
      <w:r>
        <w:rPr>
          <w:rFonts w:hint="eastAsia" w:ascii="仿宋" w:hAnsi="仿宋" w:eastAsia="仿宋"/>
          <w:color w:val="000000"/>
          <w:sz w:val="28"/>
          <w:szCs w:val="28"/>
          <w:lang w:bidi="hi-IN"/>
        </w:rPr>
        <w:t>（一）国际贸易理论的微观基础</w:t>
      </w:r>
    </w:p>
    <w:p>
      <w:pPr>
        <w:spacing w:before="100" w:beforeAutospacing="1" w:after="120" w:line="500" w:lineRule="exact"/>
        <w:ind w:firstLine="560" w:firstLineChars="200"/>
        <w:rPr>
          <w:rFonts w:hint="eastAsia" w:ascii="仿宋" w:hAnsi="仿宋" w:eastAsia="仿宋"/>
          <w:color w:val="000000"/>
          <w:sz w:val="28"/>
          <w:szCs w:val="28"/>
          <w:lang w:bidi="hi-IN"/>
        </w:rPr>
      </w:pPr>
      <w:r>
        <w:rPr>
          <w:rFonts w:hint="eastAsia" w:ascii="仿宋" w:hAnsi="仿宋" w:eastAsia="仿宋"/>
          <w:color w:val="000000"/>
          <w:sz w:val="28"/>
          <w:szCs w:val="28"/>
          <w:lang w:bidi="hi-IN"/>
        </w:rPr>
        <w:t>生产可能性边界与供给；消费者偏好与社会无差异曲线；开放条件下的一般均衡；贸易利益的衡量与分解；国际贸易的起因。</w:t>
      </w:r>
    </w:p>
    <w:p>
      <w:pPr>
        <w:spacing w:before="100" w:beforeAutospacing="1" w:after="120" w:line="500" w:lineRule="exact"/>
        <w:ind w:firstLine="560" w:firstLineChars="200"/>
        <w:rPr>
          <w:rFonts w:hint="eastAsia" w:ascii="仿宋" w:hAnsi="仿宋" w:eastAsia="仿宋"/>
          <w:color w:val="000000"/>
          <w:sz w:val="28"/>
          <w:szCs w:val="28"/>
          <w:lang w:bidi="hi-IN"/>
        </w:rPr>
      </w:pPr>
      <w:r>
        <w:rPr>
          <w:rFonts w:hint="eastAsia" w:ascii="仿宋" w:hAnsi="仿宋" w:eastAsia="仿宋"/>
          <w:color w:val="000000"/>
          <w:sz w:val="28"/>
          <w:szCs w:val="28"/>
          <w:lang w:bidi="hi-IN"/>
        </w:rPr>
        <w:t>（二）古典贸易理论</w:t>
      </w:r>
    </w:p>
    <w:p>
      <w:pPr>
        <w:spacing w:before="100" w:beforeAutospacing="1" w:after="120" w:line="500" w:lineRule="exact"/>
        <w:ind w:firstLine="560" w:firstLineChars="200"/>
        <w:rPr>
          <w:rFonts w:hint="eastAsia" w:ascii="仿宋" w:hAnsi="仿宋" w:eastAsia="仿宋"/>
          <w:color w:val="000000"/>
          <w:sz w:val="28"/>
          <w:szCs w:val="28"/>
          <w:lang w:bidi="hi-IN"/>
        </w:rPr>
      </w:pPr>
      <w:r>
        <w:rPr>
          <w:rFonts w:hint="eastAsia" w:ascii="仿宋" w:hAnsi="仿宋" w:eastAsia="仿宋"/>
          <w:color w:val="000000"/>
          <w:sz w:val="28"/>
          <w:szCs w:val="28"/>
          <w:lang w:bidi="hi-IN"/>
        </w:rPr>
        <w:t>古典贸易理论的演变；绝对优势理论；比较优势理论；比较优势理论的评价及其对我国的指导意义。</w:t>
      </w:r>
    </w:p>
    <w:p>
      <w:pPr>
        <w:spacing w:before="100" w:beforeAutospacing="1" w:after="120" w:line="500" w:lineRule="exact"/>
        <w:ind w:firstLine="560" w:firstLineChars="200"/>
        <w:rPr>
          <w:rFonts w:hint="eastAsia" w:ascii="仿宋" w:hAnsi="仿宋" w:eastAsia="仿宋"/>
          <w:color w:val="000000"/>
          <w:sz w:val="28"/>
          <w:szCs w:val="28"/>
          <w:lang w:bidi="hi-IN"/>
        </w:rPr>
      </w:pPr>
      <w:r>
        <w:rPr>
          <w:rFonts w:hint="eastAsia" w:ascii="仿宋" w:hAnsi="仿宋" w:eastAsia="仿宋"/>
          <w:color w:val="000000"/>
          <w:sz w:val="28"/>
          <w:szCs w:val="28"/>
          <w:lang w:bidi="hi-IN"/>
        </w:rPr>
        <w:t>（三）要素禀赋理论</w:t>
      </w:r>
    </w:p>
    <w:p>
      <w:pPr>
        <w:spacing w:before="100" w:beforeAutospacing="1" w:after="120" w:line="500" w:lineRule="exact"/>
        <w:ind w:firstLine="560" w:firstLineChars="200"/>
        <w:rPr>
          <w:rFonts w:hint="eastAsia" w:ascii="仿宋" w:hAnsi="仿宋" w:eastAsia="仿宋"/>
          <w:color w:val="000000"/>
          <w:sz w:val="28"/>
          <w:szCs w:val="28"/>
          <w:lang w:bidi="hi-IN"/>
        </w:rPr>
      </w:pPr>
      <w:r>
        <w:rPr>
          <w:rFonts w:hint="eastAsia" w:ascii="仿宋" w:hAnsi="仿宋" w:eastAsia="仿宋"/>
          <w:color w:val="000000"/>
          <w:sz w:val="28"/>
          <w:szCs w:val="28"/>
          <w:lang w:bidi="hi-IN"/>
        </w:rPr>
        <w:t>要素禀赋；要素密集度；H-O定理；要素价格均等化定理；罗伯津斯基定理及其推论；悲惨增长；悲惨增长的形成条件；里昂惕夫之谜及其解释；要素禀赋理论的评价及其对我国的指导意义。</w:t>
      </w:r>
    </w:p>
    <w:p>
      <w:pPr>
        <w:spacing w:before="100" w:beforeAutospacing="1" w:after="120" w:line="500" w:lineRule="exact"/>
        <w:ind w:firstLine="560" w:firstLineChars="200"/>
        <w:rPr>
          <w:rFonts w:hint="eastAsia" w:ascii="仿宋" w:hAnsi="仿宋" w:eastAsia="仿宋"/>
          <w:color w:val="000000"/>
          <w:sz w:val="28"/>
          <w:szCs w:val="28"/>
          <w:lang w:bidi="hi-IN"/>
        </w:rPr>
      </w:pPr>
      <w:r>
        <w:rPr>
          <w:rFonts w:hint="eastAsia" w:ascii="仿宋" w:hAnsi="仿宋" w:eastAsia="仿宋"/>
          <w:color w:val="000000"/>
          <w:sz w:val="28"/>
          <w:szCs w:val="28"/>
          <w:lang w:bidi="hi-IN"/>
        </w:rPr>
        <w:t>（四）特定要素与国际贸易</w:t>
      </w:r>
    </w:p>
    <w:p>
      <w:pPr>
        <w:spacing w:before="100" w:beforeAutospacing="1" w:after="120" w:line="500" w:lineRule="exact"/>
        <w:ind w:firstLine="560" w:firstLineChars="200"/>
        <w:rPr>
          <w:rFonts w:hint="eastAsia" w:ascii="仿宋" w:hAnsi="仿宋" w:eastAsia="仿宋"/>
          <w:color w:val="000000"/>
          <w:sz w:val="28"/>
          <w:szCs w:val="28"/>
          <w:lang w:bidi="hi-IN"/>
        </w:rPr>
      </w:pPr>
      <w:r>
        <w:rPr>
          <w:rFonts w:hint="eastAsia" w:ascii="仿宋" w:hAnsi="仿宋" w:eastAsia="仿宋"/>
          <w:color w:val="000000"/>
          <w:sz w:val="28"/>
          <w:szCs w:val="28"/>
          <w:lang w:bidi="hi-IN"/>
        </w:rPr>
        <w:t>特定要素；特定要素模型；特定要素与收入分配。</w:t>
      </w:r>
    </w:p>
    <w:p>
      <w:pPr>
        <w:spacing w:before="100" w:beforeAutospacing="1" w:after="120" w:line="500" w:lineRule="exact"/>
        <w:ind w:firstLine="560" w:firstLineChars="200"/>
        <w:rPr>
          <w:rFonts w:hint="eastAsia" w:ascii="仿宋" w:hAnsi="仿宋" w:eastAsia="仿宋"/>
          <w:color w:val="000000"/>
          <w:sz w:val="28"/>
          <w:szCs w:val="28"/>
          <w:lang w:bidi="hi-IN"/>
        </w:rPr>
      </w:pPr>
      <w:r>
        <w:rPr>
          <w:rFonts w:hint="eastAsia" w:ascii="仿宋" w:hAnsi="仿宋" w:eastAsia="仿宋"/>
          <w:color w:val="000000"/>
          <w:sz w:val="28"/>
          <w:szCs w:val="28"/>
          <w:lang w:bidi="hi-IN"/>
        </w:rPr>
        <w:t>（五）需求、技术变化与国际贸易</w:t>
      </w:r>
    </w:p>
    <w:p>
      <w:pPr>
        <w:spacing w:before="100" w:beforeAutospacing="1" w:after="120" w:line="500" w:lineRule="exact"/>
        <w:ind w:firstLine="560" w:firstLineChars="200"/>
        <w:rPr>
          <w:rFonts w:hint="eastAsia" w:ascii="仿宋" w:hAnsi="仿宋" w:eastAsia="仿宋"/>
          <w:color w:val="000000"/>
          <w:sz w:val="28"/>
          <w:szCs w:val="28"/>
          <w:lang w:bidi="hi-IN"/>
        </w:rPr>
      </w:pPr>
      <w:r>
        <w:rPr>
          <w:rFonts w:hint="eastAsia" w:ascii="仿宋" w:hAnsi="仿宋" w:eastAsia="仿宋"/>
          <w:color w:val="000000"/>
          <w:sz w:val="28"/>
          <w:szCs w:val="28"/>
          <w:lang w:bidi="hi-IN"/>
        </w:rPr>
        <w:t>重叠需求理论及其评价；产品生命周期理论及其评价。</w:t>
      </w:r>
    </w:p>
    <w:p>
      <w:pPr>
        <w:spacing w:before="100" w:beforeAutospacing="1" w:after="120" w:line="500" w:lineRule="exact"/>
        <w:ind w:firstLine="560" w:firstLineChars="200"/>
        <w:rPr>
          <w:rFonts w:hint="eastAsia" w:ascii="仿宋" w:hAnsi="仿宋" w:eastAsia="仿宋"/>
          <w:color w:val="000000"/>
          <w:sz w:val="28"/>
          <w:szCs w:val="28"/>
          <w:lang w:bidi="hi-IN"/>
        </w:rPr>
      </w:pPr>
      <w:r>
        <w:rPr>
          <w:rFonts w:hint="eastAsia" w:ascii="仿宋" w:hAnsi="仿宋" w:eastAsia="仿宋"/>
          <w:color w:val="000000"/>
          <w:sz w:val="28"/>
          <w:szCs w:val="28"/>
          <w:lang w:bidi="hi-IN"/>
        </w:rPr>
        <w:t>（六）规模经济、不完全竞争与国际贸易</w:t>
      </w:r>
    </w:p>
    <w:p>
      <w:pPr>
        <w:spacing w:before="100" w:beforeAutospacing="1" w:after="120" w:line="500" w:lineRule="exact"/>
        <w:ind w:firstLine="560" w:firstLineChars="200"/>
        <w:rPr>
          <w:rFonts w:hint="eastAsia" w:ascii="仿宋" w:hAnsi="仿宋" w:eastAsia="仿宋"/>
          <w:color w:val="000000"/>
          <w:sz w:val="28"/>
          <w:szCs w:val="28"/>
          <w:lang w:bidi="hi-IN"/>
        </w:rPr>
      </w:pPr>
      <w:r>
        <w:rPr>
          <w:rFonts w:hint="eastAsia" w:ascii="仿宋" w:hAnsi="仿宋" w:eastAsia="仿宋"/>
          <w:color w:val="000000"/>
          <w:sz w:val="28"/>
          <w:szCs w:val="28"/>
          <w:lang w:bidi="hi-IN"/>
        </w:rPr>
        <w:t>外部规模经济、垄断竞争、寡头垄断引起国际贸易的机理，及其评价。</w:t>
      </w:r>
    </w:p>
    <w:p>
      <w:pPr>
        <w:spacing w:before="100" w:beforeAutospacing="1" w:after="120" w:line="500" w:lineRule="exact"/>
        <w:ind w:firstLine="560" w:firstLineChars="200"/>
        <w:rPr>
          <w:rFonts w:hint="eastAsia" w:ascii="仿宋" w:hAnsi="仿宋" w:eastAsia="仿宋"/>
          <w:color w:val="000000"/>
          <w:sz w:val="28"/>
          <w:szCs w:val="28"/>
          <w:lang w:bidi="hi-IN"/>
        </w:rPr>
      </w:pPr>
      <w:r>
        <w:rPr>
          <w:rFonts w:hint="eastAsia" w:ascii="仿宋" w:hAnsi="仿宋" w:eastAsia="仿宋"/>
          <w:color w:val="000000"/>
          <w:sz w:val="28"/>
          <w:szCs w:val="28"/>
          <w:lang w:bidi="hi-IN"/>
        </w:rPr>
        <w:t>（七）关税与非关税壁垒</w:t>
      </w:r>
    </w:p>
    <w:p>
      <w:pPr>
        <w:spacing w:before="100" w:beforeAutospacing="1" w:after="120" w:line="500" w:lineRule="exact"/>
        <w:ind w:firstLine="560" w:firstLineChars="200"/>
        <w:rPr>
          <w:rFonts w:hint="eastAsia" w:ascii="仿宋" w:hAnsi="仿宋" w:eastAsia="仿宋"/>
          <w:color w:val="000000"/>
          <w:sz w:val="28"/>
          <w:szCs w:val="28"/>
          <w:lang w:bidi="hi-IN"/>
        </w:rPr>
      </w:pPr>
      <w:r>
        <w:rPr>
          <w:rFonts w:hint="eastAsia" w:ascii="仿宋" w:hAnsi="仿宋" w:eastAsia="仿宋"/>
          <w:color w:val="000000"/>
          <w:sz w:val="28"/>
          <w:szCs w:val="28"/>
          <w:lang w:bidi="hi-IN"/>
        </w:rPr>
        <w:t>关税的定义与主要分类；关税效应的局部均衡分析；有效保护率和关税结构；配额的定义与主要分类；配额效应的局部均衡分析；出口补贴定义；出口补贴的局部均衡分析；倾销的定义与主要分类；反倾销。</w:t>
      </w:r>
    </w:p>
    <w:p>
      <w:pPr>
        <w:spacing w:before="100" w:beforeAutospacing="1" w:after="120" w:line="500" w:lineRule="exact"/>
        <w:ind w:firstLine="560" w:firstLineChars="200"/>
        <w:rPr>
          <w:rFonts w:hint="eastAsia" w:ascii="仿宋" w:hAnsi="仿宋" w:eastAsia="仿宋"/>
          <w:color w:val="000000"/>
          <w:sz w:val="28"/>
          <w:szCs w:val="28"/>
          <w:lang w:bidi="hi-IN"/>
        </w:rPr>
      </w:pPr>
      <w:r>
        <w:rPr>
          <w:rFonts w:hint="eastAsia" w:ascii="仿宋" w:hAnsi="仿宋" w:eastAsia="仿宋"/>
          <w:color w:val="000000"/>
          <w:sz w:val="28"/>
          <w:szCs w:val="28"/>
          <w:lang w:bidi="hi-IN"/>
        </w:rPr>
        <w:t>（八）贸易保护的依据</w:t>
      </w:r>
    </w:p>
    <w:p>
      <w:pPr>
        <w:spacing w:before="100" w:beforeAutospacing="1" w:after="120" w:line="500" w:lineRule="exact"/>
        <w:ind w:firstLine="560" w:firstLineChars="200"/>
        <w:rPr>
          <w:rFonts w:hint="eastAsia" w:ascii="仿宋" w:hAnsi="仿宋" w:eastAsia="仿宋"/>
          <w:color w:val="000000"/>
          <w:sz w:val="28"/>
          <w:szCs w:val="28"/>
          <w:lang w:bidi="hi-IN"/>
        </w:rPr>
      </w:pPr>
      <w:r>
        <w:rPr>
          <w:rFonts w:hint="eastAsia" w:ascii="仿宋" w:hAnsi="仿宋" w:eastAsia="仿宋"/>
          <w:color w:val="000000"/>
          <w:sz w:val="28"/>
          <w:szCs w:val="28"/>
          <w:lang w:bidi="hi-IN"/>
        </w:rPr>
        <w:t>最佳关税；幼稚产业的含义；幼稚产业判定标准；幼稚产业理论对我国的指导意义；凯恩斯主义贸易保护观点；战略性贸易政策含义及其评价。</w:t>
      </w:r>
    </w:p>
    <w:p>
      <w:pPr>
        <w:spacing w:before="100" w:beforeAutospacing="1" w:after="120" w:line="500" w:lineRule="exact"/>
        <w:ind w:firstLine="560" w:firstLineChars="200"/>
        <w:rPr>
          <w:rFonts w:hint="eastAsia" w:ascii="仿宋" w:hAnsi="仿宋" w:eastAsia="仿宋"/>
          <w:color w:val="000000"/>
          <w:sz w:val="28"/>
          <w:szCs w:val="28"/>
          <w:lang w:bidi="hi-IN"/>
        </w:rPr>
      </w:pPr>
      <w:r>
        <w:rPr>
          <w:rFonts w:hint="eastAsia" w:ascii="仿宋" w:hAnsi="仿宋" w:eastAsia="仿宋"/>
          <w:color w:val="000000"/>
          <w:sz w:val="28"/>
          <w:szCs w:val="28"/>
          <w:lang w:bidi="hi-IN"/>
        </w:rPr>
        <w:t>（九）经济一体化与关税同盟理论</w:t>
      </w:r>
    </w:p>
    <w:p>
      <w:pPr>
        <w:spacing w:before="100" w:beforeAutospacing="1" w:after="120" w:line="500" w:lineRule="exact"/>
        <w:ind w:firstLine="560" w:firstLineChars="200"/>
        <w:rPr>
          <w:rFonts w:hint="eastAsia" w:ascii="仿宋" w:hAnsi="仿宋" w:eastAsia="仿宋"/>
          <w:color w:val="000000"/>
          <w:sz w:val="28"/>
          <w:szCs w:val="28"/>
          <w:lang w:bidi="hi-IN"/>
        </w:rPr>
      </w:pPr>
      <w:r>
        <w:rPr>
          <w:rFonts w:hint="eastAsia" w:ascii="仿宋" w:hAnsi="仿宋" w:eastAsia="仿宋"/>
          <w:color w:val="000000"/>
          <w:sz w:val="28"/>
          <w:szCs w:val="28"/>
          <w:lang w:bidi="hi-IN"/>
        </w:rPr>
        <w:t>区域经济一体化的主要形式及其联系与区别；关税同盟的静态效应（贸易创造、贸易转移和福利效应）；关税同盟的动态效应。</w:t>
      </w:r>
    </w:p>
    <w:p>
      <w:pPr>
        <w:spacing w:before="100" w:beforeAutospacing="1" w:after="120" w:line="500" w:lineRule="exact"/>
        <w:ind w:firstLine="560" w:firstLineChars="200"/>
        <w:rPr>
          <w:rFonts w:hint="eastAsia" w:ascii="仿宋" w:hAnsi="仿宋" w:eastAsia="仿宋"/>
          <w:color w:val="000000"/>
          <w:sz w:val="28"/>
          <w:szCs w:val="28"/>
          <w:lang w:bidi="hi-IN"/>
        </w:rPr>
      </w:pPr>
      <w:r>
        <w:rPr>
          <w:rFonts w:hint="eastAsia" w:ascii="仿宋" w:hAnsi="仿宋" w:eastAsia="仿宋"/>
          <w:color w:val="000000"/>
          <w:sz w:val="28"/>
          <w:szCs w:val="28"/>
          <w:lang w:bidi="hi-IN"/>
        </w:rPr>
        <w:t>（十）贸易政策的历史实践</w:t>
      </w:r>
    </w:p>
    <w:p>
      <w:pPr>
        <w:spacing w:before="100" w:beforeAutospacing="1" w:after="120" w:line="500" w:lineRule="exact"/>
        <w:ind w:firstLine="560" w:firstLineChars="200"/>
        <w:rPr>
          <w:rFonts w:hint="eastAsia" w:ascii="仿宋" w:hAnsi="仿宋" w:eastAsia="仿宋"/>
          <w:color w:val="000000"/>
          <w:sz w:val="28"/>
          <w:szCs w:val="28"/>
          <w:lang w:bidi="hi-IN"/>
        </w:rPr>
      </w:pPr>
      <w:r>
        <w:rPr>
          <w:rFonts w:hint="eastAsia" w:ascii="仿宋" w:hAnsi="仿宋" w:eastAsia="仿宋"/>
          <w:color w:val="000000"/>
          <w:sz w:val="28"/>
          <w:szCs w:val="28"/>
          <w:lang w:bidi="hi-IN"/>
        </w:rPr>
        <w:t>自由贸易政策和贸易保护主义政策的演进过程；发展中国家的贸易政策演进；关贸总协定的基本原则；WTO；NAFTA;APEC；欧盟。</w:t>
      </w:r>
    </w:p>
    <w:p>
      <w:pPr>
        <w:spacing w:before="100" w:beforeAutospacing="1" w:after="120" w:line="500" w:lineRule="exact"/>
        <w:ind w:firstLine="560" w:firstLineChars="200"/>
        <w:rPr>
          <w:rFonts w:hint="eastAsia" w:ascii="仿宋" w:hAnsi="仿宋" w:eastAsia="仿宋"/>
          <w:color w:val="000000"/>
          <w:sz w:val="28"/>
          <w:szCs w:val="28"/>
          <w:lang w:bidi="hi-IN"/>
        </w:rPr>
      </w:pPr>
      <w:r>
        <w:rPr>
          <w:rFonts w:hint="eastAsia" w:ascii="仿宋" w:hAnsi="仿宋" w:eastAsia="仿宋"/>
          <w:color w:val="000000"/>
          <w:sz w:val="28"/>
          <w:szCs w:val="28"/>
          <w:lang w:bidi="hi-IN"/>
        </w:rPr>
        <w:t>（十一）国际收支</w:t>
      </w:r>
    </w:p>
    <w:p>
      <w:pPr>
        <w:spacing w:before="100" w:beforeAutospacing="1" w:after="120" w:line="500" w:lineRule="exact"/>
        <w:ind w:firstLine="560" w:firstLineChars="200"/>
        <w:rPr>
          <w:rFonts w:hint="eastAsia" w:ascii="仿宋" w:hAnsi="仿宋" w:eastAsia="仿宋"/>
          <w:color w:val="000000"/>
          <w:sz w:val="28"/>
          <w:szCs w:val="28"/>
          <w:lang w:bidi="hi-IN"/>
        </w:rPr>
      </w:pPr>
      <w:r>
        <w:rPr>
          <w:rFonts w:hint="eastAsia" w:ascii="仿宋" w:hAnsi="仿宋" w:eastAsia="仿宋"/>
          <w:color w:val="000000"/>
          <w:sz w:val="28"/>
          <w:szCs w:val="28"/>
          <w:lang w:bidi="hi-IN"/>
        </w:rPr>
        <w:t>国际收支；国际收支平衡表；国际收支平衡表的主要内容；国际收支失衡；国际收支差额的主要指标。</w:t>
      </w:r>
    </w:p>
    <w:p>
      <w:pPr>
        <w:spacing w:before="100" w:beforeAutospacing="1" w:after="120" w:line="500" w:lineRule="exact"/>
        <w:ind w:firstLine="560" w:firstLineChars="200"/>
        <w:rPr>
          <w:rFonts w:hint="eastAsia" w:ascii="仿宋" w:hAnsi="仿宋" w:eastAsia="仿宋"/>
          <w:color w:val="000000"/>
          <w:sz w:val="28"/>
          <w:szCs w:val="28"/>
          <w:lang w:bidi="hi-IN"/>
        </w:rPr>
      </w:pPr>
      <w:r>
        <w:rPr>
          <w:rFonts w:hint="eastAsia" w:ascii="仿宋" w:hAnsi="仿宋" w:eastAsia="仿宋"/>
          <w:color w:val="000000"/>
          <w:sz w:val="28"/>
          <w:szCs w:val="28"/>
          <w:lang w:bidi="hi-IN"/>
        </w:rPr>
        <w:t>（</w:t>
      </w:r>
      <w:r>
        <w:rPr>
          <w:rFonts w:ascii="仿宋" w:hAnsi="仿宋" w:eastAsia="仿宋"/>
          <w:color w:val="000000"/>
          <w:sz w:val="28"/>
          <w:szCs w:val="28"/>
          <w:lang w:bidi="hi-IN"/>
        </w:rPr>
        <w:t>十二</w:t>
      </w:r>
      <w:r>
        <w:rPr>
          <w:rFonts w:hint="eastAsia" w:ascii="仿宋" w:hAnsi="仿宋" w:eastAsia="仿宋"/>
          <w:color w:val="000000"/>
          <w:sz w:val="28"/>
          <w:szCs w:val="28"/>
          <w:lang w:bidi="hi-IN"/>
        </w:rPr>
        <w:t>）外汇与外汇市场</w:t>
      </w:r>
    </w:p>
    <w:p>
      <w:pPr>
        <w:spacing w:before="100" w:beforeAutospacing="1" w:after="120" w:line="500" w:lineRule="exact"/>
        <w:ind w:firstLine="560" w:firstLineChars="200"/>
        <w:rPr>
          <w:rFonts w:hint="eastAsia" w:ascii="仿宋" w:hAnsi="仿宋" w:eastAsia="仿宋"/>
          <w:color w:val="000000"/>
          <w:sz w:val="28"/>
          <w:szCs w:val="28"/>
          <w:lang w:bidi="hi-IN"/>
        </w:rPr>
      </w:pPr>
      <w:r>
        <w:rPr>
          <w:rFonts w:hint="eastAsia" w:ascii="仿宋" w:hAnsi="仿宋" w:eastAsia="仿宋"/>
          <w:color w:val="000000"/>
          <w:sz w:val="28"/>
          <w:szCs w:val="28"/>
          <w:lang w:bidi="hi-IN"/>
        </w:rPr>
        <w:t>外汇；汇率概念及主要种类；外汇市场的定义及主要功能；外汇市场的主要交易类型；固定汇率制；浮动汇率制；外汇管制。</w:t>
      </w:r>
    </w:p>
    <w:p>
      <w:pPr>
        <w:spacing w:before="100" w:beforeAutospacing="1" w:after="120" w:line="500" w:lineRule="exact"/>
        <w:ind w:firstLine="560" w:firstLineChars="200"/>
        <w:rPr>
          <w:rFonts w:hint="eastAsia" w:ascii="仿宋" w:hAnsi="仿宋" w:eastAsia="仿宋"/>
          <w:color w:val="000000"/>
          <w:sz w:val="28"/>
          <w:szCs w:val="28"/>
          <w:lang w:bidi="hi-IN"/>
        </w:rPr>
      </w:pPr>
      <w:r>
        <w:rPr>
          <w:rFonts w:hint="eastAsia" w:ascii="仿宋" w:hAnsi="仿宋" w:eastAsia="仿宋"/>
          <w:color w:val="000000"/>
          <w:sz w:val="28"/>
          <w:szCs w:val="28"/>
          <w:lang w:bidi="hi-IN"/>
        </w:rPr>
        <w:t>（</w:t>
      </w:r>
      <w:r>
        <w:rPr>
          <w:rFonts w:ascii="仿宋" w:hAnsi="仿宋" w:eastAsia="仿宋"/>
          <w:color w:val="000000"/>
          <w:sz w:val="28"/>
          <w:szCs w:val="28"/>
          <w:lang w:bidi="hi-IN"/>
        </w:rPr>
        <w:t>十三</w:t>
      </w:r>
      <w:r>
        <w:rPr>
          <w:rFonts w:hint="eastAsia" w:ascii="仿宋" w:hAnsi="仿宋" w:eastAsia="仿宋"/>
          <w:color w:val="000000"/>
          <w:sz w:val="28"/>
          <w:szCs w:val="28"/>
          <w:lang w:bidi="hi-IN"/>
        </w:rPr>
        <w:t>）汇率决定理论</w:t>
      </w:r>
    </w:p>
    <w:p>
      <w:pPr>
        <w:spacing w:before="100" w:beforeAutospacing="1" w:after="120" w:line="500" w:lineRule="exact"/>
        <w:ind w:firstLine="560" w:firstLineChars="200"/>
        <w:rPr>
          <w:rFonts w:hint="eastAsia" w:ascii="仿宋" w:hAnsi="仿宋" w:eastAsia="仿宋"/>
          <w:color w:val="000000"/>
          <w:sz w:val="28"/>
          <w:szCs w:val="28"/>
          <w:lang w:bidi="hi-IN"/>
        </w:rPr>
      </w:pPr>
      <w:r>
        <w:rPr>
          <w:rFonts w:hint="eastAsia" w:ascii="仿宋" w:hAnsi="仿宋" w:eastAsia="仿宋"/>
          <w:color w:val="000000"/>
          <w:sz w:val="28"/>
          <w:szCs w:val="28"/>
          <w:lang w:bidi="hi-IN"/>
        </w:rPr>
        <w:t>铸币平价理论；购买力平价理论；利率平价理论；汇率决定的资产市场分析法；汇率超调。</w:t>
      </w:r>
    </w:p>
    <w:p>
      <w:pPr>
        <w:spacing w:before="100" w:beforeAutospacing="1" w:after="120" w:line="500" w:lineRule="exact"/>
        <w:ind w:firstLine="560" w:firstLineChars="200"/>
        <w:rPr>
          <w:rFonts w:hint="eastAsia" w:ascii="仿宋" w:hAnsi="仿宋" w:eastAsia="仿宋"/>
          <w:color w:val="000000"/>
          <w:sz w:val="28"/>
          <w:szCs w:val="28"/>
          <w:lang w:bidi="hi-IN"/>
        </w:rPr>
      </w:pPr>
      <w:r>
        <w:rPr>
          <w:rFonts w:hint="eastAsia" w:ascii="仿宋" w:hAnsi="仿宋" w:eastAsia="仿宋"/>
          <w:color w:val="000000"/>
          <w:sz w:val="28"/>
          <w:szCs w:val="28"/>
          <w:lang w:bidi="hi-IN"/>
        </w:rPr>
        <w:t>（十四）国际收支调整理论</w:t>
      </w:r>
    </w:p>
    <w:p>
      <w:pPr>
        <w:spacing w:before="100" w:beforeAutospacing="1" w:after="120" w:line="500" w:lineRule="exact"/>
        <w:ind w:firstLine="560" w:firstLineChars="200"/>
        <w:rPr>
          <w:rFonts w:hint="eastAsia" w:ascii="仿宋" w:hAnsi="仿宋" w:eastAsia="仿宋"/>
          <w:color w:val="000000"/>
          <w:sz w:val="28"/>
          <w:szCs w:val="28"/>
          <w:lang w:bidi="hi-IN"/>
        </w:rPr>
      </w:pPr>
      <w:r>
        <w:rPr>
          <w:rFonts w:hint="eastAsia" w:ascii="仿宋" w:hAnsi="仿宋" w:eastAsia="仿宋"/>
          <w:color w:val="000000"/>
          <w:sz w:val="28"/>
          <w:szCs w:val="28"/>
          <w:lang w:bidi="hi-IN"/>
        </w:rPr>
        <w:t>国际收支调整的弹性分析法；马歇尔-勒纳条件；J曲线效应；弹性分析法的评价；吸收分析法及其评价；货币分析法及其评价。</w:t>
      </w:r>
    </w:p>
    <w:p>
      <w:pPr>
        <w:spacing w:before="100" w:beforeAutospacing="1" w:after="120" w:line="500" w:lineRule="exact"/>
        <w:ind w:firstLine="560" w:firstLineChars="200"/>
        <w:rPr>
          <w:rFonts w:hint="eastAsia" w:ascii="仿宋" w:hAnsi="仿宋" w:eastAsia="仿宋"/>
          <w:color w:val="000000"/>
          <w:sz w:val="28"/>
          <w:szCs w:val="28"/>
          <w:lang w:bidi="hi-IN"/>
        </w:rPr>
      </w:pPr>
      <w:r>
        <w:rPr>
          <w:rFonts w:hint="eastAsia" w:ascii="仿宋" w:hAnsi="仿宋" w:eastAsia="仿宋"/>
          <w:color w:val="000000"/>
          <w:sz w:val="28"/>
          <w:szCs w:val="28"/>
          <w:lang w:bidi="hi-IN"/>
        </w:rPr>
        <w:t>（</w:t>
      </w:r>
      <w:r>
        <w:rPr>
          <w:rFonts w:ascii="仿宋" w:hAnsi="仿宋" w:eastAsia="仿宋"/>
          <w:color w:val="000000"/>
          <w:sz w:val="28"/>
          <w:szCs w:val="28"/>
          <w:lang w:bidi="hi-IN"/>
        </w:rPr>
        <w:t>十五</w:t>
      </w:r>
      <w:r>
        <w:rPr>
          <w:rFonts w:hint="eastAsia" w:ascii="仿宋" w:hAnsi="仿宋" w:eastAsia="仿宋"/>
          <w:color w:val="000000"/>
          <w:sz w:val="28"/>
          <w:szCs w:val="28"/>
          <w:lang w:bidi="hi-IN"/>
        </w:rPr>
        <w:t>）内外平衡理论</w:t>
      </w:r>
    </w:p>
    <w:p>
      <w:pPr>
        <w:spacing w:before="100" w:beforeAutospacing="1" w:after="120" w:line="50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  <w:lang w:bidi="hi-IN"/>
        </w:rPr>
        <w:t>开放条件下的宏观经济政策目标；丁伯根法则；米德的政策搭配理论；米德冲突；蒙代尔分配法则。</w:t>
      </w:r>
    </w:p>
    <w:p>
      <w:pPr>
        <w:spacing w:before="100" w:beforeAutospacing="1" w:after="120" w:line="500" w:lineRule="exact"/>
        <w:ind w:firstLine="560" w:firstLineChars="200"/>
        <w:rPr>
          <w:rFonts w:hint="eastAsia" w:ascii="仿宋" w:hAnsi="仿宋" w:eastAsia="仿宋"/>
          <w:color w:val="000000"/>
          <w:sz w:val="28"/>
          <w:szCs w:val="28"/>
          <w:lang w:bidi="hi-IN"/>
        </w:rPr>
      </w:pPr>
      <w:r>
        <w:rPr>
          <w:rFonts w:hint="eastAsia" w:ascii="仿宋" w:hAnsi="仿宋" w:eastAsia="仿宋"/>
          <w:color w:val="000000"/>
          <w:sz w:val="28"/>
          <w:szCs w:val="28"/>
          <w:lang w:bidi="hi-IN"/>
        </w:rPr>
        <w:t>（</w:t>
      </w:r>
      <w:r>
        <w:rPr>
          <w:rFonts w:ascii="仿宋" w:hAnsi="仿宋" w:eastAsia="仿宋"/>
          <w:color w:val="000000"/>
          <w:sz w:val="28"/>
          <w:szCs w:val="28"/>
          <w:lang w:bidi="hi-IN"/>
        </w:rPr>
        <w:t>十</w:t>
      </w:r>
      <w:r>
        <w:rPr>
          <w:rFonts w:hint="eastAsia" w:ascii="仿宋" w:hAnsi="仿宋" w:eastAsia="仿宋"/>
          <w:color w:val="000000"/>
          <w:sz w:val="28"/>
          <w:szCs w:val="28"/>
          <w:lang w:bidi="hi-IN"/>
        </w:rPr>
        <w:t>六）开放经济条件下的宏观经济政策效果</w:t>
      </w:r>
    </w:p>
    <w:p>
      <w:pPr>
        <w:spacing w:before="100" w:beforeAutospacing="1" w:after="120" w:line="50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  <w:lang w:bidi="hi-IN"/>
        </w:rPr>
        <w:t>IS-LM-BP模型；不同汇率制、不同资本流动性假设下财政、货币政策效果；三元悖论。</w:t>
      </w:r>
    </w:p>
    <w:p>
      <w:pPr>
        <w:spacing w:before="100" w:beforeAutospacing="1" w:after="120" w:line="50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</w:p>
    <w:sectPr>
      <w:footerReference r:id="rId3" w:type="default"/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bordersDoNotSurroundHeader w:val="0"/>
  <w:bordersDoNotSurroundFooter w:val="0"/>
  <w:documentProtection w:enforcement="0"/>
  <w:defaultTabStop w:val="720"/>
  <w:hyphenationZone w:val="360"/>
  <w:displayHorizontalDrawingGridEvery w:val="1"/>
  <w:displayVerticalDrawingGridEvery w:val="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949"/>
    <w:rsid w:val="000135B8"/>
    <w:rsid w:val="00021238"/>
    <w:rsid w:val="0002363A"/>
    <w:rsid w:val="00027EE0"/>
    <w:rsid w:val="0003131A"/>
    <w:rsid w:val="000369B0"/>
    <w:rsid w:val="000404AC"/>
    <w:rsid w:val="000574D6"/>
    <w:rsid w:val="000665D5"/>
    <w:rsid w:val="00066DD6"/>
    <w:rsid w:val="0007669B"/>
    <w:rsid w:val="0007794D"/>
    <w:rsid w:val="00087C21"/>
    <w:rsid w:val="00087F52"/>
    <w:rsid w:val="00091710"/>
    <w:rsid w:val="000A2F11"/>
    <w:rsid w:val="000A543F"/>
    <w:rsid w:val="000C33A1"/>
    <w:rsid w:val="000E35BF"/>
    <w:rsid w:val="000E6F3F"/>
    <w:rsid w:val="001005CD"/>
    <w:rsid w:val="00111AB1"/>
    <w:rsid w:val="001155D2"/>
    <w:rsid w:val="00116C74"/>
    <w:rsid w:val="001330D7"/>
    <w:rsid w:val="0013334D"/>
    <w:rsid w:val="001725C3"/>
    <w:rsid w:val="00181158"/>
    <w:rsid w:val="00190665"/>
    <w:rsid w:val="00194889"/>
    <w:rsid w:val="001A6161"/>
    <w:rsid w:val="001D0A89"/>
    <w:rsid w:val="001D3689"/>
    <w:rsid w:val="001D6E3A"/>
    <w:rsid w:val="001F4532"/>
    <w:rsid w:val="00212456"/>
    <w:rsid w:val="00212566"/>
    <w:rsid w:val="0021792D"/>
    <w:rsid w:val="00230034"/>
    <w:rsid w:val="00236498"/>
    <w:rsid w:val="002412B0"/>
    <w:rsid w:val="002426BC"/>
    <w:rsid w:val="002504ED"/>
    <w:rsid w:val="00251CBC"/>
    <w:rsid w:val="00255B84"/>
    <w:rsid w:val="00256855"/>
    <w:rsid w:val="00261938"/>
    <w:rsid w:val="00263EE8"/>
    <w:rsid w:val="00265BCC"/>
    <w:rsid w:val="00272AAF"/>
    <w:rsid w:val="00273341"/>
    <w:rsid w:val="00280327"/>
    <w:rsid w:val="00287726"/>
    <w:rsid w:val="002A1D2E"/>
    <w:rsid w:val="002A4BBD"/>
    <w:rsid w:val="002B1A41"/>
    <w:rsid w:val="002B5AE5"/>
    <w:rsid w:val="002C6E8E"/>
    <w:rsid w:val="002E4FFD"/>
    <w:rsid w:val="002F6261"/>
    <w:rsid w:val="00306DC0"/>
    <w:rsid w:val="00312547"/>
    <w:rsid w:val="00331D6D"/>
    <w:rsid w:val="003419B0"/>
    <w:rsid w:val="00350E2D"/>
    <w:rsid w:val="0035558E"/>
    <w:rsid w:val="00356899"/>
    <w:rsid w:val="00361965"/>
    <w:rsid w:val="00375671"/>
    <w:rsid w:val="00381F12"/>
    <w:rsid w:val="003871B4"/>
    <w:rsid w:val="00397EC5"/>
    <w:rsid w:val="003A4623"/>
    <w:rsid w:val="003B083D"/>
    <w:rsid w:val="003B17A3"/>
    <w:rsid w:val="003D7241"/>
    <w:rsid w:val="003E1869"/>
    <w:rsid w:val="003F5BDB"/>
    <w:rsid w:val="00401B09"/>
    <w:rsid w:val="00404CF9"/>
    <w:rsid w:val="004072EC"/>
    <w:rsid w:val="004131E4"/>
    <w:rsid w:val="00447FC9"/>
    <w:rsid w:val="004717D5"/>
    <w:rsid w:val="0047297F"/>
    <w:rsid w:val="00485ACF"/>
    <w:rsid w:val="004A4C94"/>
    <w:rsid w:val="004E5087"/>
    <w:rsid w:val="004E693C"/>
    <w:rsid w:val="004F2B32"/>
    <w:rsid w:val="004F36BB"/>
    <w:rsid w:val="004F4767"/>
    <w:rsid w:val="0050186E"/>
    <w:rsid w:val="005069B6"/>
    <w:rsid w:val="005253BD"/>
    <w:rsid w:val="00544686"/>
    <w:rsid w:val="005A3949"/>
    <w:rsid w:val="005B2C55"/>
    <w:rsid w:val="005C3445"/>
    <w:rsid w:val="005E03E3"/>
    <w:rsid w:val="005E096C"/>
    <w:rsid w:val="005E1552"/>
    <w:rsid w:val="005E5CB7"/>
    <w:rsid w:val="005F39CE"/>
    <w:rsid w:val="005F3C29"/>
    <w:rsid w:val="00602CCC"/>
    <w:rsid w:val="006053B3"/>
    <w:rsid w:val="006058C3"/>
    <w:rsid w:val="006421D2"/>
    <w:rsid w:val="00651F88"/>
    <w:rsid w:val="006541B0"/>
    <w:rsid w:val="006577D8"/>
    <w:rsid w:val="00672539"/>
    <w:rsid w:val="00673670"/>
    <w:rsid w:val="00676AE8"/>
    <w:rsid w:val="00686D22"/>
    <w:rsid w:val="006A4B33"/>
    <w:rsid w:val="006C5124"/>
    <w:rsid w:val="006D6807"/>
    <w:rsid w:val="006D7798"/>
    <w:rsid w:val="006D7990"/>
    <w:rsid w:val="006F1EED"/>
    <w:rsid w:val="006F2685"/>
    <w:rsid w:val="007007DD"/>
    <w:rsid w:val="007056C2"/>
    <w:rsid w:val="007149D2"/>
    <w:rsid w:val="00726B6E"/>
    <w:rsid w:val="00731D72"/>
    <w:rsid w:val="007341F8"/>
    <w:rsid w:val="00750094"/>
    <w:rsid w:val="00755FC7"/>
    <w:rsid w:val="00756BAF"/>
    <w:rsid w:val="0078534B"/>
    <w:rsid w:val="007A10E6"/>
    <w:rsid w:val="007A4B18"/>
    <w:rsid w:val="007A7251"/>
    <w:rsid w:val="007A72F5"/>
    <w:rsid w:val="007D52ED"/>
    <w:rsid w:val="007E11BB"/>
    <w:rsid w:val="007E45B8"/>
    <w:rsid w:val="007E5579"/>
    <w:rsid w:val="008067F6"/>
    <w:rsid w:val="0083746E"/>
    <w:rsid w:val="0085155E"/>
    <w:rsid w:val="00852EEF"/>
    <w:rsid w:val="00856D27"/>
    <w:rsid w:val="00873234"/>
    <w:rsid w:val="00875922"/>
    <w:rsid w:val="0088452C"/>
    <w:rsid w:val="008861EA"/>
    <w:rsid w:val="008C347D"/>
    <w:rsid w:val="008E3978"/>
    <w:rsid w:val="008E3D20"/>
    <w:rsid w:val="008E4172"/>
    <w:rsid w:val="008F108C"/>
    <w:rsid w:val="008F55BE"/>
    <w:rsid w:val="008F5CA7"/>
    <w:rsid w:val="00912FCF"/>
    <w:rsid w:val="0091463D"/>
    <w:rsid w:val="00924BB1"/>
    <w:rsid w:val="00932E93"/>
    <w:rsid w:val="00933BA5"/>
    <w:rsid w:val="009364D1"/>
    <w:rsid w:val="00950916"/>
    <w:rsid w:val="00954605"/>
    <w:rsid w:val="0095490F"/>
    <w:rsid w:val="00957FDC"/>
    <w:rsid w:val="00963341"/>
    <w:rsid w:val="00964B39"/>
    <w:rsid w:val="00981116"/>
    <w:rsid w:val="00981531"/>
    <w:rsid w:val="00981B5F"/>
    <w:rsid w:val="009A7BF2"/>
    <w:rsid w:val="009C21CA"/>
    <w:rsid w:val="009C7B1A"/>
    <w:rsid w:val="009D1034"/>
    <w:rsid w:val="009D15F9"/>
    <w:rsid w:val="009E7750"/>
    <w:rsid w:val="009F7B87"/>
    <w:rsid w:val="00A2167D"/>
    <w:rsid w:val="00A24DE0"/>
    <w:rsid w:val="00A33BE7"/>
    <w:rsid w:val="00A34AFB"/>
    <w:rsid w:val="00A60A54"/>
    <w:rsid w:val="00A81F8C"/>
    <w:rsid w:val="00A831B2"/>
    <w:rsid w:val="00A86696"/>
    <w:rsid w:val="00A927B5"/>
    <w:rsid w:val="00A93F1E"/>
    <w:rsid w:val="00A97979"/>
    <w:rsid w:val="00AB11D3"/>
    <w:rsid w:val="00AB4E52"/>
    <w:rsid w:val="00AD3BF8"/>
    <w:rsid w:val="00AF7E69"/>
    <w:rsid w:val="00B00093"/>
    <w:rsid w:val="00B071E6"/>
    <w:rsid w:val="00B52ECD"/>
    <w:rsid w:val="00B62D5D"/>
    <w:rsid w:val="00B64F13"/>
    <w:rsid w:val="00B77F7C"/>
    <w:rsid w:val="00B806D4"/>
    <w:rsid w:val="00B84774"/>
    <w:rsid w:val="00B94BBA"/>
    <w:rsid w:val="00B95084"/>
    <w:rsid w:val="00BA641D"/>
    <w:rsid w:val="00BB0C91"/>
    <w:rsid w:val="00BB293D"/>
    <w:rsid w:val="00BB49D0"/>
    <w:rsid w:val="00BB5CE8"/>
    <w:rsid w:val="00BC25DC"/>
    <w:rsid w:val="00BC5B20"/>
    <w:rsid w:val="00BE1D99"/>
    <w:rsid w:val="00C1033F"/>
    <w:rsid w:val="00C3760E"/>
    <w:rsid w:val="00C42928"/>
    <w:rsid w:val="00C55664"/>
    <w:rsid w:val="00C60278"/>
    <w:rsid w:val="00C60B53"/>
    <w:rsid w:val="00C6544F"/>
    <w:rsid w:val="00C73154"/>
    <w:rsid w:val="00C7404D"/>
    <w:rsid w:val="00C84187"/>
    <w:rsid w:val="00C86964"/>
    <w:rsid w:val="00C920EA"/>
    <w:rsid w:val="00C93F6C"/>
    <w:rsid w:val="00C977EF"/>
    <w:rsid w:val="00CA00D4"/>
    <w:rsid w:val="00CA7590"/>
    <w:rsid w:val="00CB3CE4"/>
    <w:rsid w:val="00CB72BA"/>
    <w:rsid w:val="00CB74AE"/>
    <w:rsid w:val="00CC0CEF"/>
    <w:rsid w:val="00CC411A"/>
    <w:rsid w:val="00CD01D2"/>
    <w:rsid w:val="00CD503D"/>
    <w:rsid w:val="00CD63B4"/>
    <w:rsid w:val="00CE2527"/>
    <w:rsid w:val="00CE7EE4"/>
    <w:rsid w:val="00CF5308"/>
    <w:rsid w:val="00CF61EB"/>
    <w:rsid w:val="00CF6AEA"/>
    <w:rsid w:val="00D01786"/>
    <w:rsid w:val="00D4633B"/>
    <w:rsid w:val="00D46D3E"/>
    <w:rsid w:val="00D5014E"/>
    <w:rsid w:val="00D506E1"/>
    <w:rsid w:val="00D568A1"/>
    <w:rsid w:val="00D62ED6"/>
    <w:rsid w:val="00D67CD6"/>
    <w:rsid w:val="00D91456"/>
    <w:rsid w:val="00D94645"/>
    <w:rsid w:val="00DA0D1B"/>
    <w:rsid w:val="00DA6CD4"/>
    <w:rsid w:val="00DB2E24"/>
    <w:rsid w:val="00DC1DFD"/>
    <w:rsid w:val="00DC3951"/>
    <w:rsid w:val="00DC5F02"/>
    <w:rsid w:val="00DD0490"/>
    <w:rsid w:val="00DE445D"/>
    <w:rsid w:val="00DE7C20"/>
    <w:rsid w:val="00DF040D"/>
    <w:rsid w:val="00DF14D2"/>
    <w:rsid w:val="00E23DEB"/>
    <w:rsid w:val="00E31873"/>
    <w:rsid w:val="00E4469A"/>
    <w:rsid w:val="00E608EA"/>
    <w:rsid w:val="00E65E3D"/>
    <w:rsid w:val="00E708D7"/>
    <w:rsid w:val="00E973C5"/>
    <w:rsid w:val="00EB1965"/>
    <w:rsid w:val="00EC16B1"/>
    <w:rsid w:val="00EC3B4D"/>
    <w:rsid w:val="00EC4525"/>
    <w:rsid w:val="00EE7907"/>
    <w:rsid w:val="00EE7AFF"/>
    <w:rsid w:val="00F2439C"/>
    <w:rsid w:val="00F2684D"/>
    <w:rsid w:val="00F36A83"/>
    <w:rsid w:val="00F4463F"/>
    <w:rsid w:val="00F7013B"/>
    <w:rsid w:val="00F7181C"/>
    <w:rsid w:val="00F7387A"/>
    <w:rsid w:val="00F807AD"/>
    <w:rsid w:val="00F82C7E"/>
    <w:rsid w:val="00F94676"/>
    <w:rsid w:val="00F94792"/>
    <w:rsid w:val="00F97D3C"/>
    <w:rsid w:val="00FA2AAD"/>
    <w:rsid w:val="00FA377F"/>
    <w:rsid w:val="00FA6632"/>
    <w:rsid w:val="00FA789F"/>
    <w:rsid w:val="00FC1F53"/>
    <w:rsid w:val="00FC2245"/>
    <w:rsid w:val="00FC356E"/>
    <w:rsid w:val="00FD3FE2"/>
    <w:rsid w:val="00FD4975"/>
    <w:rsid w:val="00FE4CD9"/>
    <w:rsid w:val="00FE7B04"/>
    <w:rsid w:val="00FF37DE"/>
    <w:rsid w:val="00FF3806"/>
    <w:rsid w:val="00FF652E"/>
    <w:rsid w:val="0631225C"/>
    <w:rsid w:val="32A03CBF"/>
    <w:rsid w:val="3DFF7FD5"/>
    <w:rsid w:val="42212107"/>
    <w:rsid w:val="43AC2CF2"/>
    <w:rsid w:val="5E9562A0"/>
    <w:rsid w:val="681965E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semiHidden="0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sz w:val="22"/>
      <w:szCs w:val="22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1"/>
    <w:unhideWhenUsed/>
    <w:uiPriority w:val="99"/>
    <w:rPr>
      <w:sz w:val="20"/>
      <w:szCs w:val="20"/>
    </w:rPr>
  </w:style>
  <w:style w:type="paragraph" w:styleId="3">
    <w:name w:val="Balloon Text"/>
    <w:basedOn w:val="1"/>
    <w:link w:val="14"/>
    <w:unhideWhenUsed/>
    <w:uiPriority w:val="99"/>
    <w:pPr>
      <w:spacing w:after="0" w:line="240" w:lineRule="auto"/>
    </w:pPr>
    <w:rPr>
      <w:rFonts w:ascii="微软雅黑" w:eastAsia="微软雅黑"/>
      <w:sz w:val="18"/>
      <w:szCs w:val="18"/>
    </w:rPr>
  </w:style>
  <w:style w:type="paragraph" w:styleId="4">
    <w:name w:val="footer"/>
    <w:basedOn w:val="1"/>
    <w:link w:val="13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5">
    <w:name w:val="header"/>
    <w:basedOn w:val="1"/>
    <w:link w:val="12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6">
    <w:name w:val="annotation subject"/>
    <w:basedOn w:val="2"/>
    <w:next w:val="2"/>
    <w:link w:val="15"/>
    <w:unhideWhenUsed/>
    <w:uiPriority w:val="99"/>
    <w:rPr>
      <w:b/>
      <w:bCs/>
    </w:rPr>
  </w:style>
  <w:style w:type="character" w:styleId="9">
    <w:name w:val="Hyperlink"/>
    <w:uiPriority w:val="0"/>
    <w:rPr>
      <w:color w:val="0000FF"/>
      <w:u w:val="single"/>
    </w:rPr>
  </w:style>
  <w:style w:type="character" w:styleId="10">
    <w:name w:val="annotation reference"/>
    <w:unhideWhenUsed/>
    <w:uiPriority w:val="99"/>
    <w:rPr>
      <w:sz w:val="16"/>
      <w:szCs w:val="16"/>
    </w:rPr>
  </w:style>
  <w:style w:type="character" w:customStyle="1" w:styleId="11">
    <w:name w:val="批注文字 字符"/>
    <w:basedOn w:val="8"/>
    <w:link w:val="2"/>
    <w:semiHidden/>
    <w:uiPriority w:val="99"/>
  </w:style>
  <w:style w:type="character" w:customStyle="1" w:styleId="12">
    <w:name w:val="页眉 字符"/>
    <w:basedOn w:val="8"/>
    <w:link w:val="5"/>
    <w:uiPriority w:val="99"/>
  </w:style>
  <w:style w:type="character" w:customStyle="1" w:styleId="13">
    <w:name w:val="页脚 字符"/>
    <w:basedOn w:val="8"/>
    <w:link w:val="4"/>
    <w:uiPriority w:val="99"/>
  </w:style>
  <w:style w:type="character" w:customStyle="1" w:styleId="14">
    <w:name w:val="批注框文本 字符"/>
    <w:link w:val="3"/>
    <w:semiHidden/>
    <w:uiPriority w:val="99"/>
    <w:rPr>
      <w:rFonts w:ascii="微软雅黑" w:eastAsia="微软雅黑"/>
      <w:sz w:val="18"/>
      <w:szCs w:val="18"/>
    </w:rPr>
  </w:style>
  <w:style w:type="character" w:customStyle="1" w:styleId="15">
    <w:name w:val="批注主题 字符"/>
    <w:link w:val="6"/>
    <w:semiHidden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197</Words>
  <Characters>1126</Characters>
  <Lines>9</Lines>
  <Paragraphs>2</Paragraphs>
  <TotalTime>0</TotalTime>
  <ScaleCrop>false</ScaleCrop>
  <LinksUpToDate>false</LinksUpToDate>
  <CharactersWithSpaces>1321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2013-09-23T08:24:00Z</dcterms:created>
  <dc:creator>Jianjiang</dc:creator>
  <cp:lastModifiedBy>vertesyuan</cp:lastModifiedBy>
  <dcterms:modified xsi:type="dcterms:W3CDTF">2021-11-26T10:55:51Z</dcterms:modified>
  <dc:title>                       西方经济学部分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>
    <vt:lpwstr>6</vt:lpwstr>
  </property>
  <property fmtid="{D5CDD505-2E9C-101B-9397-08002B2CF9AE}" pid="3" name="KSOProductBuildVer">
    <vt:lpwstr>2052-11.3.0.9228</vt:lpwstr>
  </property>
</Properties>
</file>