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after="312" w:afterLines="100" w:line="700" w:lineRule="exact"/>
        <w:jc w:val="left"/>
        <w:textAlignment w:val="auto"/>
        <w:rPr>
          <w:rFonts w:hint="eastAsia" w:ascii="方正小标宋_GBK" w:hAnsi="方正小标宋_GBK" w:eastAsia="方正小标宋_GBK" w:cs="方正小标宋_GBK"/>
          <w:sz w:val="32"/>
          <w:szCs w:val="32"/>
        </w:rPr>
      </w:pPr>
      <w:bookmarkStart w:id="0" w:name="_GoBack"/>
      <w:bookmarkEnd w:id="0"/>
      <w:r>
        <w:rPr>
          <w:rFonts w:hint="eastAsia" w:ascii="方正小标宋_GBK" w:hAnsi="方正小标宋_GBK" w:eastAsia="方正小标宋_GBK" w:cs="方正小标宋_GBK"/>
          <w:sz w:val="32"/>
          <w:szCs w:val="32"/>
        </w:rPr>
        <w:t>附件5</w:t>
      </w:r>
    </w:p>
    <w:p>
      <w:pPr>
        <w:keepNext w:val="0"/>
        <w:keepLines w:val="0"/>
        <w:pageBreakBefore w:val="0"/>
        <w:widowControl w:val="0"/>
        <w:kinsoku/>
        <w:wordWrap/>
        <w:overflowPunct/>
        <w:topLinePunct w:val="0"/>
        <w:autoSpaceDE/>
        <w:autoSpaceDN/>
        <w:bidi w:val="0"/>
        <w:adjustRightInd w:val="0"/>
        <w:snapToGrid w:val="0"/>
        <w:spacing w:after="312" w:afterLines="100" w:line="700" w:lineRule="exact"/>
        <w:jc w:val="center"/>
        <w:textAlignment w:val="auto"/>
        <w:rPr>
          <w:rFonts w:hint="eastAsia" w:ascii="方正小标宋_GBK" w:hAnsi="方正小标宋_GBK" w:eastAsia="方正小标宋_GBK" w:cs="方正小标宋_GBK"/>
          <w:bCs/>
          <w:sz w:val="32"/>
          <w:szCs w:val="32"/>
        </w:rPr>
      </w:pPr>
      <w:r>
        <w:rPr>
          <w:rFonts w:hint="eastAsia" w:ascii="方正小标宋_GBK" w:hAnsi="方正小标宋_GBK" w:eastAsia="方正小标宋_GBK" w:cs="方正小标宋_GBK"/>
          <w:sz w:val="32"/>
          <w:szCs w:val="32"/>
        </w:rPr>
        <w:t>2022年全国硕士研究生招生考试自命题科目考试</w:t>
      </w:r>
      <w:r>
        <w:rPr>
          <w:rFonts w:hint="eastAsia" w:ascii="方正小标宋_GBK" w:hAnsi="方正小标宋_GBK" w:eastAsia="方正小标宋_GBK" w:cs="方正小标宋_GBK"/>
          <w:bCs/>
          <w:sz w:val="32"/>
          <w:szCs w:val="32"/>
        </w:rPr>
        <w:t>大纲</w:t>
      </w:r>
    </w:p>
    <w:p>
      <w:pPr>
        <w:adjustRightInd w:val="0"/>
        <w:snapToGrid w:val="0"/>
        <w:spacing w:line="560" w:lineRule="exact"/>
        <w:rPr>
          <w:rFonts w:ascii="仿宋_GB2312" w:hAnsi="宋体" w:eastAsia="仿宋_GB2312"/>
          <w:b/>
          <w:bCs/>
          <w:sz w:val="28"/>
          <w:szCs w:val="28"/>
          <w:u w:val="single"/>
        </w:rPr>
      </w:pPr>
      <w:r>
        <w:rPr>
          <w:rFonts w:hint="eastAsia" w:ascii="仿宋_GB2312" w:hAnsi="宋体" w:eastAsia="仿宋_GB2312"/>
          <w:b/>
          <w:bCs/>
          <w:sz w:val="28"/>
          <w:szCs w:val="28"/>
        </w:rPr>
        <w:t>科目代码：</w:t>
      </w:r>
      <w:r>
        <w:rPr>
          <w:rFonts w:hint="eastAsia" w:ascii="仿宋_GB2312" w:hAnsi="宋体" w:eastAsia="仿宋_GB2312"/>
          <w:b/>
          <w:bCs/>
          <w:sz w:val="28"/>
          <w:szCs w:val="28"/>
          <w:u w:val="single"/>
        </w:rPr>
        <w:t xml:space="preserve">   </w:t>
      </w:r>
      <w:r>
        <w:rPr>
          <w:rFonts w:ascii="仿宋_GB2312" w:hAnsi="宋体" w:eastAsia="仿宋_GB2312"/>
          <w:b/>
          <w:bCs/>
          <w:sz w:val="28"/>
          <w:szCs w:val="28"/>
          <w:u w:val="single"/>
        </w:rPr>
        <w:t>815</w:t>
      </w:r>
      <w:r>
        <w:rPr>
          <w:rFonts w:hint="eastAsia" w:ascii="仿宋_GB2312" w:hAnsi="宋体" w:eastAsia="仿宋_GB2312"/>
          <w:b/>
          <w:bCs/>
          <w:sz w:val="28"/>
          <w:szCs w:val="28"/>
          <w:u w:val="single"/>
        </w:rPr>
        <w:t xml:space="preserve">   </w:t>
      </w:r>
      <w:r>
        <w:rPr>
          <w:rFonts w:hint="eastAsia" w:ascii="仿宋_GB2312" w:hAnsi="宋体" w:eastAsia="仿宋_GB2312"/>
          <w:b/>
          <w:bCs/>
          <w:sz w:val="28"/>
          <w:szCs w:val="28"/>
        </w:rPr>
        <w:t xml:space="preserve">              考试科目：</w:t>
      </w:r>
      <w:r>
        <w:rPr>
          <w:rFonts w:ascii="仿宋_GB2312" w:hAnsi="宋体" w:eastAsia="仿宋_GB2312"/>
          <w:b/>
          <w:bCs/>
          <w:sz w:val="28"/>
          <w:szCs w:val="28"/>
          <w:u w:val="single"/>
        </w:rPr>
        <w:t xml:space="preserve"> </w:t>
      </w:r>
      <w:r>
        <w:rPr>
          <w:rFonts w:hint="eastAsia" w:ascii="仿宋_GB2312" w:hAnsi="宋体" w:eastAsia="仿宋_GB2312"/>
          <w:b/>
          <w:bCs/>
          <w:sz w:val="28"/>
          <w:szCs w:val="28"/>
          <w:u w:val="single"/>
        </w:rPr>
        <w:t xml:space="preserve">电路分析基础  </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一、考试性质</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_GB2312" w:hAnsi="宋体" w:eastAsia="仿宋_GB2312"/>
          <w:bCs/>
          <w:sz w:val="28"/>
          <w:szCs w:val="28"/>
        </w:rPr>
      </w:pPr>
      <w:r>
        <w:rPr>
          <w:rFonts w:hint="eastAsia" w:ascii="仿宋_GB2312" w:hAnsi="宋体" w:eastAsia="仿宋_GB2312"/>
          <w:bCs/>
          <w:sz w:val="28"/>
          <w:szCs w:val="28"/>
        </w:rPr>
        <w:t>《电路分析基础》考试是为桂林电子科技大学招收电气工程硕士研究生而设置的具有选拔性质的自命题科目，其目的是科学、公平、有效地测试考生是否具备攻读</w:t>
      </w:r>
      <w:r>
        <w:rPr>
          <w:rFonts w:hint="eastAsia" w:ascii="仿宋_GB2312" w:hAnsi="宋体" w:eastAsia="仿宋_GB2312"/>
          <w:bCs/>
          <w:color w:val="auto"/>
          <w:sz w:val="28"/>
          <w:szCs w:val="28"/>
        </w:rPr>
        <w:t>电气工程</w:t>
      </w:r>
      <w:r>
        <w:rPr>
          <w:rFonts w:hint="eastAsia" w:ascii="仿宋_GB2312" w:hAnsi="宋体" w:eastAsia="仿宋_GB2312"/>
          <w:bCs/>
          <w:sz w:val="28"/>
          <w:szCs w:val="28"/>
        </w:rPr>
        <w:t>硕士学位所必需的基本素质、一般能力和培养潜能，评价的标准是高等学校本科毕业生所能达到的及格或及格以上水平，以利于择优选拔，确保</w:t>
      </w:r>
      <w:r>
        <w:rPr>
          <w:rFonts w:hint="eastAsia" w:ascii="仿宋_GB2312" w:hAnsi="宋体" w:eastAsia="仿宋_GB2312"/>
          <w:bCs/>
          <w:strike w:val="0"/>
          <w:dstrike w:val="0"/>
          <w:color w:val="auto"/>
          <w:sz w:val="28"/>
          <w:szCs w:val="28"/>
        </w:rPr>
        <w:t>电气工程</w:t>
      </w:r>
      <w:r>
        <w:rPr>
          <w:rFonts w:hint="eastAsia" w:ascii="仿宋_GB2312" w:hAnsi="宋体" w:eastAsia="仿宋_GB2312"/>
          <w:bCs/>
          <w:sz w:val="28"/>
          <w:szCs w:val="28"/>
        </w:rPr>
        <w:t>硕士研究生的招生质量。</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二、考查目标</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主要考察考生是否掌握电路模型和电路定律、电阻电路的等效变换、常用电路定理、电阻电路的一般分析、三要素法、相量法及正弦稳态电路分析、R</w:t>
      </w:r>
      <w:r>
        <w:rPr>
          <w:rFonts w:ascii="仿宋_GB2312" w:hAnsi="宋体" w:eastAsia="仿宋_GB2312"/>
          <w:bCs/>
          <w:sz w:val="28"/>
          <w:szCs w:val="28"/>
        </w:rPr>
        <w:t>LC</w:t>
      </w:r>
      <w:r>
        <w:rPr>
          <w:rFonts w:hint="eastAsia" w:ascii="仿宋_GB2312" w:hAnsi="宋体" w:eastAsia="仿宋_GB2312"/>
          <w:bCs/>
          <w:sz w:val="28"/>
          <w:szCs w:val="28"/>
        </w:rPr>
        <w:t>谐振电路、二端口网络等专业基础知识；是否具备利用电路定律、电路定理及常用分析方法对电阻电路、一阶电路</w:t>
      </w:r>
      <w:r>
        <w:rPr>
          <w:rFonts w:ascii="仿宋_GB2312" w:hAnsi="宋体" w:eastAsia="仿宋_GB2312"/>
          <w:bCs/>
          <w:sz w:val="28"/>
          <w:szCs w:val="28"/>
        </w:rPr>
        <w:t>和二阶电路</w:t>
      </w:r>
      <w:r>
        <w:rPr>
          <w:rFonts w:hint="eastAsia" w:ascii="仿宋_GB2312" w:hAnsi="宋体" w:eastAsia="仿宋_GB2312"/>
          <w:bCs/>
          <w:sz w:val="28"/>
          <w:szCs w:val="28"/>
        </w:rPr>
        <w:t>、含有耦合电感电路、三相电路进行分析和求解的能力。</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三、适用范围</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本大纲适用于桂林电子科技大学电气工程专业（080800）的硕士研究生入学考试。</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四、考试形式和试卷结构</w:t>
      </w:r>
    </w:p>
    <w:p>
      <w:pPr>
        <w:adjustRightInd w:val="0"/>
        <w:snapToGrid w:val="0"/>
        <w:spacing w:line="560" w:lineRule="exact"/>
        <w:rPr>
          <w:rFonts w:ascii="楷体_GB2312" w:hAnsi="宋体" w:eastAsia="楷体_GB2312"/>
          <w:bCs/>
          <w:sz w:val="28"/>
          <w:szCs w:val="28"/>
        </w:rPr>
      </w:pPr>
      <w:r>
        <w:rPr>
          <w:rFonts w:hint="eastAsia" w:ascii="楷体_GB2312" w:hAnsi="宋体" w:eastAsia="楷体_GB2312"/>
          <w:bCs/>
          <w:sz w:val="24"/>
          <w:szCs w:val="24"/>
        </w:rPr>
        <w:t>（一）试卷满分及考试时间</w:t>
      </w:r>
    </w:p>
    <w:p>
      <w:pPr>
        <w:adjustRightInd w:val="0"/>
        <w:snapToGrid w:val="0"/>
        <w:spacing w:line="560" w:lineRule="exact"/>
        <w:ind w:firstLine="562" w:firstLineChars="200"/>
        <w:rPr>
          <w:rFonts w:ascii="仿宋_GB2312" w:hAnsi="宋体" w:eastAsia="仿宋_GB2312"/>
          <w:bCs/>
          <w:color w:val="0000FF"/>
          <w:sz w:val="28"/>
          <w:szCs w:val="28"/>
        </w:rPr>
      </w:pPr>
      <w:r>
        <w:rPr>
          <w:rFonts w:hint="eastAsia" w:ascii="仿宋_GB2312" w:hAnsi="宋体" w:eastAsia="仿宋_GB2312" w:cs="Times New Roman"/>
          <w:b/>
          <w:bCs w:val="0"/>
          <w:color w:val="0000FF"/>
          <w:sz w:val="28"/>
          <w:szCs w:val="28"/>
          <w:lang w:val="en-US" w:eastAsia="zh-CN"/>
        </w:rPr>
        <w:t>本</w:t>
      </w:r>
      <w:r>
        <w:rPr>
          <w:rFonts w:hint="eastAsia" w:ascii="仿宋_GB2312" w:hAnsi="宋体" w:eastAsia="仿宋_GB2312"/>
          <w:b/>
          <w:bCs w:val="0"/>
          <w:color w:val="0000FF"/>
          <w:sz w:val="28"/>
          <w:szCs w:val="28"/>
        </w:rPr>
        <w:t>试卷满分为150分，考试时间为</w:t>
      </w:r>
      <w:r>
        <w:rPr>
          <w:rFonts w:hint="eastAsia" w:ascii="仿宋_GB2312" w:hAnsi="宋体" w:eastAsia="仿宋_GB2312"/>
          <w:b/>
          <w:bCs w:val="0"/>
          <w:color w:val="0000FF"/>
          <w:sz w:val="28"/>
          <w:szCs w:val="28"/>
          <w:lang w:val="en-US" w:eastAsia="zh-CN"/>
        </w:rPr>
        <w:t>180分钟</w:t>
      </w:r>
      <w:r>
        <w:rPr>
          <w:rFonts w:hint="eastAsia" w:ascii="仿宋_GB2312" w:hAnsi="宋体" w:eastAsia="仿宋_GB2312"/>
          <w:b/>
          <w:bCs w:val="0"/>
          <w:color w:val="0000FF"/>
          <w:sz w:val="28"/>
          <w:szCs w:val="28"/>
        </w:rPr>
        <w:t>。</w:t>
      </w:r>
    </w:p>
    <w:p>
      <w:pPr>
        <w:adjustRightInd w:val="0"/>
        <w:snapToGrid w:val="0"/>
        <w:spacing w:line="560" w:lineRule="exact"/>
        <w:rPr>
          <w:rFonts w:ascii="楷体_GB2312" w:hAnsi="宋体" w:eastAsia="楷体_GB2312"/>
          <w:bCs/>
          <w:sz w:val="24"/>
          <w:szCs w:val="24"/>
        </w:rPr>
      </w:pPr>
      <w:r>
        <w:rPr>
          <w:rFonts w:hint="eastAsia" w:ascii="楷体_GB2312" w:hAnsi="宋体" w:eastAsia="楷体_GB2312"/>
          <w:bCs/>
          <w:sz w:val="24"/>
          <w:szCs w:val="24"/>
        </w:rPr>
        <w:t>（二）试卷内容结构</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_GB2312" w:hAnsi="宋体" w:eastAsia="仿宋_GB2312"/>
          <w:bCs/>
          <w:sz w:val="28"/>
          <w:szCs w:val="28"/>
          <w:lang w:bidi="ar"/>
        </w:rPr>
      </w:pPr>
      <w:r>
        <w:rPr>
          <w:rFonts w:hint="eastAsia" w:ascii="仿宋_GB2312" w:hAnsi="宋体" w:eastAsia="仿宋_GB2312"/>
          <w:bCs/>
          <w:sz w:val="28"/>
          <w:szCs w:val="28"/>
          <w:lang w:bidi="ar"/>
        </w:rPr>
        <w:t>电路模型和电路定律、电路定理和电阻电路的一般分析、</w:t>
      </w:r>
      <w:r>
        <w:rPr>
          <w:rFonts w:ascii="仿宋_GB2312" w:hAnsi="宋体" w:eastAsia="仿宋_GB2312"/>
          <w:bCs/>
          <w:sz w:val="28"/>
          <w:szCs w:val="28"/>
          <w:lang w:bidi="ar"/>
        </w:rPr>
        <w:t>最大传输功率定理占</w:t>
      </w:r>
      <w:r>
        <w:rPr>
          <w:rFonts w:hint="eastAsia" w:ascii="仿宋_GB2312" w:hAnsi="宋体" w:eastAsia="仿宋_GB2312"/>
          <w:bCs/>
          <w:sz w:val="28"/>
          <w:szCs w:val="28"/>
          <w:lang w:bidi="ar"/>
        </w:rPr>
        <w:t>30%-50</w:t>
      </w:r>
      <w:r>
        <w:rPr>
          <w:rFonts w:ascii="仿宋_GB2312" w:hAnsi="宋体" w:eastAsia="仿宋_GB2312"/>
          <w:bCs/>
          <w:sz w:val="28"/>
          <w:szCs w:val="28"/>
          <w:lang w:bidi="ar"/>
        </w:rPr>
        <w:t>%；</w:t>
      </w:r>
      <w:r>
        <w:rPr>
          <w:rFonts w:hint="eastAsia" w:ascii="仿宋_GB2312" w:hAnsi="宋体" w:eastAsia="仿宋_GB2312"/>
          <w:bCs/>
          <w:sz w:val="28"/>
          <w:szCs w:val="28"/>
          <w:lang w:bidi="ar"/>
        </w:rPr>
        <w:t>一阶电路、二阶电路和分析</w:t>
      </w:r>
      <w:r>
        <w:rPr>
          <w:rFonts w:ascii="仿宋_GB2312" w:hAnsi="宋体" w:eastAsia="仿宋_GB2312"/>
          <w:bCs/>
          <w:sz w:val="28"/>
          <w:szCs w:val="28"/>
          <w:lang w:bidi="ar"/>
        </w:rPr>
        <w:t>占</w:t>
      </w:r>
      <w:r>
        <w:rPr>
          <w:rFonts w:hint="eastAsia" w:ascii="仿宋_GB2312" w:hAnsi="宋体" w:eastAsia="仿宋_GB2312"/>
          <w:bCs/>
          <w:sz w:val="28"/>
          <w:szCs w:val="28"/>
          <w:lang w:bidi="ar"/>
        </w:rPr>
        <w:t>20%-30</w:t>
      </w:r>
      <w:r>
        <w:rPr>
          <w:rFonts w:ascii="仿宋_GB2312" w:hAnsi="宋体" w:eastAsia="仿宋_GB2312"/>
          <w:bCs/>
          <w:sz w:val="28"/>
          <w:szCs w:val="28"/>
          <w:lang w:bidi="ar"/>
        </w:rPr>
        <w:t>%；</w:t>
      </w:r>
      <w:r>
        <w:rPr>
          <w:rFonts w:hint="eastAsia" w:ascii="仿宋_GB2312" w:hAnsi="宋体" w:eastAsia="仿宋_GB2312"/>
          <w:bCs/>
          <w:sz w:val="28"/>
          <w:szCs w:val="28"/>
          <w:lang w:bidi="ar"/>
        </w:rPr>
        <w:t>正弦稳态电路、三相电路分析和</w:t>
      </w:r>
      <w:r>
        <w:rPr>
          <w:rFonts w:ascii="仿宋_GB2312" w:hAnsi="宋体" w:eastAsia="仿宋_GB2312"/>
          <w:bCs/>
          <w:sz w:val="28"/>
          <w:szCs w:val="28"/>
          <w:lang w:bidi="ar"/>
        </w:rPr>
        <w:t>电路的频率响应占</w:t>
      </w:r>
      <w:r>
        <w:rPr>
          <w:rFonts w:hint="eastAsia" w:ascii="仿宋_GB2312" w:hAnsi="宋体" w:eastAsia="仿宋_GB2312"/>
          <w:bCs/>
          <w:sz w:val="28"/>
          <w:szCs w:val="28"/>
          <w:lang w:bidi="ar"/>
        </w:rPr>
        <w:t>30%-40%</w:t>
      </w:r>
      <w:r>
        <w:rPr>
          <w:rFonts w:ascii="仿宋_GB2312" w:hAnsi="宋体" w:eastAsia="仿宋_GB2312"/>
          <w:bCs/>
          <w:sz w:val="28"/>
          <w:szCs w:val="28"/>
          <w:lang w:bidi="ar"/>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_GB2312" w:hAnsi="宋体" w:eastAsia="仿宋_GB2312"/>
          <w:bCs/>
          <w:sz w:val="28"/>
          <w:szCs w:val="28"/>
        </w:rPr>
      </w:pPr>
      <w:r>
        <w:rPr>
          <w:rFonts w:hint="eastAsia" w:ascii="仿宋_GB2312" w:hAnsi="宋体" w:eastAsia="仿宋_GB2312"/>
          <w:bCs/>
          <w:sz w:val="28"/>
          <w:szCs w:val="28"/>
          <w:lang w:bidi="ar"/>
        </w:rPr>
        <w:t>注：该比例分布为本课程必须掌握的理论知识比例，每道试题可能包含多个知识点的综合运用，具体分值视题目难易程度在相应比例范围内取值，最终的比例总和为100%。</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（三）试卷题型结构及分值比例</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lang w:bidi="ar"/>
        </w:rPr>
        <w:t>试题题型均为计算题，共</w:t>
      </w:r>
      <w:r>
        <w:rPr>
          <w:rFonts w:ascii="仿宋_GB2312" w:hAnsi="宋体" w:eastAsia="仿宋_GB2312"/>
          <w:bCs/>
          <w:sz w:val="28"/>
          <w:szCs w:val="28"/>
          <w:lang w:bidi="ar"/>
        </w:rPr>
        <w:t>8</w:t>
      </w:r>
      <w:r>
        <w:rPr>
          <w:rFonts w:hint="eastAsia" w:ascii="仿宋_GB2312" w:hAnsi="宋体" w:eastAsia="仿宋_GB2312"/>
          <w:bCs/>
          <w:sz w:val="28"/>
          <w:szCs w:val="28"/>
          <w:lang w:bidi="ar"/>
        </w:rPr>
        <w:t>题，每题约15</w:t>
      </w:r>
      <w:r>
        <w:rPr>
          <w:rFonts w:ascii="仿宋_GB2312" w:hAnsi="宋体" w:eastAsia="仿宋_GB2312"/>
          <w:bCs/>
          <w:sz w:val="28"/>
          <w:szCs w:val="28"/>
          <w:lang w:bidi="ar"/>
        </w:rPr>
        <w:t>-20</w:t>
      </w:r>
      <w:r>
        <w:rPr>
          <w:rFonts w:hint="eastAsia" w:ascii="仿宋_GB2312" w:hAnsi="宋体" w:eastAsia="仿宋_GB2312"/>
          <w:bCs/>
          <w:sz w:val="28"/>
          <w:szCs w:val="28"/>
          <w:lang w:bidi="ar"/>
        </w:rPr>
        <w:t>分，具体分值根据题目难易程度调整。</w:t>
      </w:r>
    </w:p>
    <w:p>
      <w:pPr>
        <w:adjustRightInd w:val="0"/>
        <w:snapToGrid w:val="0"/>
        <w:spacing w:line="560" w:lineRule="exact"/>
        <w:rPr>
          <w:rFonts w:ascii="黑体" w:hAnsi="宋体" w:eastAsia="黑体"/>
          <w:bCs/>
          <w:sz w:val="28"/>
          <w:szCs w:val="28"/>
        </w:rPr>
      </w:pPr>
      <w:r>
        <w:rPr>
          <w:rFonts w:hint="eastAsia" w:ascii="黑体" w:hAnsi="宋体" w:eastAsia="黑体"/>
          <w:bCs/>
          <w:sz w:val="28"/>
          <w:szCs w:val="28"/>
        </w:rPr>
        <w:t>五、考查内容</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（一）电路模型和电路定律</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1.参考方向；2</w:t>
      </w:r>
      <w:r>
        <w:rPr>
          <w:rFonts w:ascii="仿宋_GB2312" w:hAnsi="宋体" w:eastAsia="仿宋_GB2312"/>
          <w:bCs/>
          <w:sz w:val="28"/>
          <w:szCs w:val="28"/>
        </w:rPr>
        <w:t>.电阻元件、独立</w:t>
      </w:r>
      <w:r>
        <w:rPr>
          <w:rFonts w:hint="eastAsia" w:ascii="仿宋_GB2312" w:hAnsi="宋体" w:eastAsia="仿宋_GB2312"/>
          <w:bCs/>
          <w:sz w:val="28"/>
          <w:szCs w:val="28"/>
        </w:rPr>
        <w:t>源和受控源；3.基尔荷夫定律。</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掌握电流、电压和电位的定义及功率和能量的计算；理解电流、电压参考方向的含义及引入参考方向的必要性；熟练掌握电阻元件、独立电源和受控电源的特性；理解基尔霍夫定律的含义，并能熟练列出基尔霍夫定律方程。</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（二）电阻电路的等效变换</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.电路的等效变换、电阻的串并联、Y-△形联接；</w:t>
      </w:r>
      <w:r>
        <w:rPr>
          <w:rFonts w:ascii="仿宋_GB2312" w:hAnsi="宋体" w:eastAsia="仿宋_GB2312"/>
          <w:bCs/>
          <w:sz w:val="28"/>
          <w:szCs w:val="28"/>
        </w:rPr>
        <w:t>2.</w:t>
      </w:r>
      <w:r>
        <w:rPr>
          <w:rFonts w:hint="eastAsia" w:ascii="仿宋_GB2312" w:hAnsi="宋体" w:eastAsia="仿宋_GB2312"/>
          <w:bCs/>
          <w:sz w:val="28"/>
          <w:szCs w:val="28"/>
        </w:rPr>
        <w:t>电源的串并联；3.实际电源的两种模型及其等效变换、输入电阻。</w:t>
      </w:r>
    </w:p>
    <w:p>
      <w:pPr>
        <w:adjustRightInd w:val="0"/>
        <w:snapToGrid w:val="0"/>
        <w:spacing w:line="560" w:lineRule="exact"/>
        <w:ind w:firstLine="560" w:firstLineChars="200"/>
        <w:rPr>
          <w:rFonts w:ascii="仿宋_GB2312" w:hAnsi="宋体" w:eastAsia="仿宋_GB2312"/>
          <w:b/>
          <w:bCs/>
          <w:sz w:val="28"/>
          <w:szCs w:val="28"/>
        </w:rPr>
      </w:pPr>
      <w:r>
        <w:rPr>
          <w:rFonts w:hint="eastAsia" w:ascii="仿宋_GB2312" w:hAnsi="宋体" w:eastAsia="仿宋_GB2312"/>
          <w:bCs/>
          <w:sz w:val="28"/>
          <w:szCs w:val="28"/>
        </w:rPr>
        <w:t>理解电路等效变换的含义；掌握电阻电路等效变换的方法；掌握电压源和电流源等效变换的条件和方法；理解输入电阻的含义，并掌握其求解方法。</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（三）电阻电路的一般分析</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支路电流法；</w:t>
      </w:r>
      <w:r>
        <w:rPr>
          <w:rFonts w:ascii="仿宋_GB2312" w:hAnsi="宋体" w:eastAsia="仿宋_GB2312"/>
          <w:bCs/>
          <w:sz w:val="28"/>
          <w:szCs w:val="28"/>
        </w:rPr>
        <w:t>2</w:t>
      </w:r>
      <w:r>
        <w:rPr>
          <w:rFonts w:hint="eastAsia" w:ascii="仿宋_GB2312" w:hAnsi="宋体" w:eastAsia="仿宋_GB2312"/>
          <w:bCs/>
          <w:sz w:val="28"/>
          <w:szCs w:val="28"/>
        </w:rPr>
        <w:t>.网孔电流法、回路电流法；3.结点电压法。</w:t>
      </w:r>
    </w:p>
    <w:p>
      <w:pPr>
        <w:adjustRightInd w:val="0"/>
        <w:snapToGrid w:val="0"/>
        <w:spacing w:line="560" w:lineRule="exact"/>
        <w:ind w:firstLine="560" w:firstLineChars="200"/>
        <w:rPr>
          <w:rFonts w:ascii="仿宋_GB2312" w:hAnsi="宋体" w:eastAsia="仿宋_GB2312"/>
          <w:b/>
          <w:bCs/>
          <w:sz w:val="28"/>
          <w:szCs w:val="28"/>
        </w:rPr>
      </w:pPr>
      <w:r>
        <w:rPr>
          <w:rFonts w:hint="eastAsia" w:ascii="仿宋_GB2312" w:hAnsi="宋体" w:eastAsia="仿宋_GB2312"/>
          <w:bCs/>
          <w:sz w:val="28"/>
          <w:szCs w:val="28"/>
        </w:rPr>
        <w:t>熟练掌握用支路电流法、网孔电流法、回路电流法和结点电压法分析电路的方法。</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（四）电路定理</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.叠加定理；</w:t>
      </w:r>
      <w:r>
        <w:rPr>
          <w:rFonts w:ascii="仿宋_GB2312" w:hAnsi="宋体" w:eastAsia="仿宋_GB2312"/>
          <w:bCs/>
          <w:sz w:val="28"/>
          <w:szCs w:val="28"/>
        </w:rPr>
        <w:t>2.</w:t>
      </w:r>
      <w:r>
        <w:rPr>
          <w:rFonts w:hint="eastAsia" w:ascii="仿宋_GB2312" w:hAnsi="宋体" w:eastAsia="仿宋_GB2312"/>
          <w:bCs/>
          <w:sz w:val="28"/>
          <w:szCs w:val="28"/>
        </w:rPr>
        <w:t>替代定理；</w:t>
      </w:r>
      <w:r>
        <w:rPr>
          <w:rFonts w:ascii="仿宋_GB2312" w:hAnsi="宋体" w:eastAsia="仿宋_GB2312"/>
          <w:bCs/>
          <w:sz w:val="28"/>
          <w:szCs w:val="28"/>
        </w:rPr>
        <w:t>3</w:t>
      </w:r>
      <w:r>
        <w:rPr>
          <w:rFonts w:hint="eastAsia" w:ascii="仿宋_GB2312" w:hAnsi="宋体" w:eastAsia="仿宋_GB2312"/>
          <w:bCs/>
          <w:sz w:val="28"/>
          <w:szCs w:val="28"/>
        </w:rPr>
        <w:t>.戴维宁和诺顿定理；</w:t>
      </w:r>
      <w:r>
        <w:rPr>
          <w:rFonts w:ascii="仿宋_GB2312" w:hAnsi="宋体" w:eastAsia="仿宋_GB2312"/>
          <w:bCs/>
          <w:sz w:val="28"/>
          <w:szCs w:val="28"/>
        </w:rPr>
        <w:t>4.</w:t>
      </w:r>
      <w:r>
        <w:rPr>
          <w:rFonts w:hint="eastAsia" w:ascii="仿宋_GB2312" w:hAnsi="宋体" w:eastAsia="仿宋_GB2312"/>
          <w:bCs/>
          <w:sz w:val="28"/>
          <w:szCs w:val="28"/>
        </w:rPr>
        <w:t>最大功率传输定理。</w:t>
      </w:r>
    </w:p>
    <w:p>
      <w:pPr>
        <w:adjustRightInd w:val="0"/>
        <w:snapToGrid w:val="0"/>
        <w:spacing w:line="560" w:lineRule="exact"/>
        <w:ind w:firstLine="560" w:firstLineChars="200"/>
        <w:rPr>
          <w:rFonts w:ascii="仿宋_GB2312" w:hAnsi="宋体" w:eastAsia="仿宋_GB2312"/>
          <w:b/>
          <w:bCs/>
          <w:sz w:val="28"/>
          <w:szCs w:val="28"/>
        </w:rPr>
      </w:pPr>
      <w:r>
        <w:rPr>
          <w:rFonts w:hint="eastAsia" w:ascii="仿宋_GB2312" w:hAnsi="宋体" w:eastAsia="仿宋_GB2312"/>
          <w:bCs/>
          <w:sz w:val="28"/>
          <w:szCs w:val="28"/>
        </w:rPr>
        <w:t>理解并掌握叠加原理、替代定理、戴维宁和诺顿定理、最大功率传输定理</w:t>
      </w:r>
      <w:r>
        <w:rPr>
          <w:rFonts w:ascii="仿宋_GB2312" w:hAnsi="宋体" w:eastAsia="仿宋_GB2312"/>
          <w:bCs/>
          <w:sz w:val="28"/>
          <w:szCs w:val="28"/>
        </w:rPr>
        <w:t>及其基本应用</w:t>
      </w:r>
      <w:r>
        <w:rPr>
          <w:rFonts w:hint="eastAsia" w:ascii="仿宋_GB2312" w:hAnsi="宋体" w:eastAsia="仿宋_GB2312"/>
          <w:bCs/>
          <w:sz w:val="28"/>
          <w:szCs w:val="28"/>
        </w:rPr>
        <w:t>。</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（五）一阶电路的时域分析</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电容、电感元件的伏安特性</w:t>
      </w:r>
      <w:r>
        <w:rPr>
          <w:rFonts w:ascii="仿宋_GB2312" w:hAnsi="宋体" w:eastAsia="仿宋_GB2312"/>
          <w:bCs/>
          <w:sz w:val="28"/>
          <w:szCs w:val="28"/>
        </w:rPr>
        <w:t>、</w:t>
      </w:r>
      <w:r>
        <w:rPr>
          <w:rFonts w:hint="eastAsia" w:ascii="仿宋_GB2312" w:hAnsi="宋体" w:eastAsia="仿宋_GB2312"/>
          <w:bCs/>
          <w:sz w:val="28"/>
          <w:szCs w:val="28"/>
        </w:rPr>
        <w:t>串联与并联；2</w:t>
      </w:r>
      <w:r>
        <w:rPr>
          <w:rFonts w:ascii="仿宋_GB2312" w:hAnsi="宋体" w:eastAsia="仿宋_GB2312"/>
          <w:bCs/>
          <w:sz w:val="28"/>
          <w:szCs w:val="28"/>
        </w:rPr>
        <w:t>.</w:t>
      </w:r>
      <w:r>
        <w:rPr>
          <w:rFonts w:hint="eastAsia" w:ascii="仿宋_GB2312" w:hAnsi="宋体" w:eastAsia="仿宋_GB2312"/>
          <w:bCs/>
          <w:sz w:val="28"/>
          <w:szCs w:val="28"/>
        </w:rPr>
        <w:t>动态电路的方程及其初始条件；3.一阶电路的零输入响应、零状态响应和全响应</w:t>
      </w:r>
      <w:r>
        <w:rPr>
          <w:rFonts w:ascii="仿宋_GB2312" w:hAnsi="宋体" w:eastAsia="仿宋_GB2312"/>
          <w:bCs/>
          <w:sz w:val="28"/>
          <w:szCs w:val="28"/>
        </w:rPr>
        <w:t>。</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掌握电路初始条件的含义和求解方法；掌握一阶电路的分析方法</w:t>
      </w:r>
      <w:r>
        <w:rPr>
          <w:rFonts w:ascii="仿宋_GB2312" w:hAnsi="宋体" w:eastAsia="仿宋_GB2312"/>
          <w:bCs/>
          <w:sz w:val="28"/>
          <w:szCs w:val="28"/>
        </w:rPr>
        <w:t>。</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（六）二阶电路的时域分析</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1.二阶电路的零输入响应</w:t>
      </w:r>
      <w:r>
        <w:rPr>
          <w:rFonts w:hint="eastAsia" w:ascii="仿宋_GB2312" w:hAnsi="宋体" w:eastAsia="仿宋_GB2312"/>
          <w:bCs/>
          <w:sz w:val="28"/>
          <w:szCs w:val="28"/>
        </w:rPr>
        <w:t>；2</w:t>
      </w:r>
      <w:r>
        <w:rPr>
          <w:rFonts w:ascii="仿宋_GB2312" w:hAnsi="宋体" w:eastAsia="仿宋_GB2312"/>
          <w:bCs/>
          <w:sz w:val="28"/>
          <w:szCs w:val="28"/>
        </w:rPr>
        <w:t>.二阶电路的零状态阶跃响应</w:t>
      </w:r>
      <w:r>
        <w:rPr>
          <w:rFonts w:hint="eastAsia" w:ascii="仿宋_GB2312" w:hAnsi="宋体" w:eastAsia="仿宋_GB2312"/>
          <w:bCs/>
          <w:sz w:val="28"/>
          <w:szCs w:val="28"/>
        </w:rPr>
        <w:t>；3.二阶电路的零输入响应、零状态响应和全响应.</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掌握</w:t>
      </w:r>
      <w:r>
        <w:rPr>
          <w:rFonts w:ascii="仿宋_GB2312" w:hAnsi="宋体" w:eastAsia="仿宋_GB2312"/>
          <w:bCs/>
          <w:sz w:val="28"/>
          <w:szCs w:val="28"/>
        </w:rPr>
        <w:t>二</w:t>
      </w:r>
      <w:r>
        <w:rPr>
          <w:rFonts w:hint="eastAsia" w:ascii="仿宋_GB2312" w:hAnsi="宋体" w:eastAsia="仿宋_GB2312"/>
          <w:bCs/>
          <w:sz w:val="28"/>
          <w:szCs w:val="28"/>
        </w:rPr>
        <w:t>阶电路</w:t>
      </w:r>
      <w:r>
        <w:rPr>
          <w:rFonts w:ascii="仿宋_GB2312" w:hAnsi="宋体" w:eastAsia="仿宋_GB2312"/>
          <w:bCs/>
          <w:sz w:val="28"/>
          <w:szCs w:val="28"/>
        </w:rPr>
        <w:t>方程的建立及其经典</w:t>
      </w:r>
      <w:r>
        <w:rPr>
          <w:rFonts w:hint="eastAsia" w:ascii="仿宋_GB2312" w:hAnsi="宋体" w:eastAsia="仿宋_GB2312"/>
          <w:bCs/>
          <w:sz w:val="28"/>
          <w:szCs w:val="28"/>
        </w:rPr>
        <w:t>分析方法</w:t>
      </w:r>
      <w:r>
        <w:rPr>
          <w:rFonts w:ascii="仿宋_GB2312" w:hAnsi="宋体" w:eastAsia="仿宋_GB2312"/>
          <w:bCs/>
          <w:sz w:val="28"/>
          <w:szCs w:val="28"/>
        </w:rPr>
        <w:t>；掌握正弦振荡、阻尼正弦振荡产生的条件和响应特点。</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（七）相量法</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复数和正弦量；</w:t>
      </w:r>
      <w:r>
        <w:rPr>
          <w:rFonts w:ascii="仿宋_GB2312" w:hAnsi="宋体" w:eastAsia="仿宋_GB2312"/>
          <w:bCs/>
          <w:sz w:val="28"/>
          <w:szCs w:val="28"/>
        </w:rPr>
        <w:t>2.</w:t>
      </w:r>
      <w:r>
        <w:rPr>
          <w:rFonts w:hint="eastAsia" w:ascii="仿宋_GB2312" w:hAnsi="宋体" w:eastAsia="仿宋_GB2312"/>
          <w:bCs/>
          <w:sz w:val="28"/>
          <w:szCs w:val="28"/>
        </w:rPr>
        <w:t>相量法；3.电路定律的相量形式。</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掌握复数的表示方法及其运算；掌握正弦量的相量表示方法；掌握元件VCR的相量形式以及电路定律的相量形式。</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（八）正弦稳态电路的分析</w:t>
      </w:r>
    </w:p>
    <w:p>
      <w:pPr>
        <w:adjustRightInd w:val="0"/>
        <w:snapToGrid w:val="0"/>
        <w:spacing w:line="560" w:lineRule="exact"/>
        <w:ind w:firstLine="560" w:firstLineChars="200"/>
        <w:rPr>
          <w:rFonts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阻抗和导纳；</w:t>
      </w:r>
      <w:r>
        <w:rPr>
          <w:rFonts w:ascii="仿宋_GB2312" w:hAnsi="宋体" w:eastAsia="仿宋_GB2312"/>
          <w:bCs/>
          <w:sz w:val="28"/>
          <w:szCs w:val="28"/>
        </w:rPr>
        <w:t>2.</w:t>
      </w:r>
      <w:r>
        <w:rPr>
          <w:rFonts w:hint="eastAsia" w:ascii="仿宋_GB2312" w:hAnsi="宋体" w:eastAsia="仿宋_GB2312"/>
          <w:bCs/>
          <w:sz w:val="28"/>
          <w:szCs w:val="28"/>
        </w:rPr>
        <w:t>电路的相量图；</w:t>
      </w:r>
      <w:r>
        <w:rPr>
          <w:rFonts w:ascii="仿宋_GB2312" w:hAnsi="宋体" w:eastAsia="仿宋_GB2312"/>
          <w:bCs/>
          <w:sz w:val="28"/>
          <w:szCs w:val="28"/>
        </w:rPr>
        <w:t>3.</w:t>
      </w:r>
      <w:r>
        <w:rPr>
          <w:rFonts w:hint="eastAsia" w:ascii="仿宋_GB2312" w:hAnsi="宋体" w:eastAsia="仿宋_GB2312"/>
          <w:bCs/>
          <w:sz w:val="28"/>
          <w:szCs w:val="28"/>
        </w:rPr>
        <w:t>正弦稳态电路分析；4</w:t>
      </w:r>
      <w:r>
        <w:rPr>
          <w:rFonts w:ascii="仿宋_GB2312" w:hAnsi="宋体" w:eastAsia="仿宋_GB2312"/>
          <w:bCs/>
          <w:sz w:val="28"/>
          <w:szCs w:val="28"/>
        </w:rPr>
        <w:t>.</w:t>
      </w:r>
      <w:r>
        <w:rPr>
          <w:rFonts w:hint="eastAsia" w:ascii="仿宋_GB2312" w:hAnsi="宋体" w:eastAsia="仿宋_GB2312"/>
          <w:bCs/>
          <w:sz w:val="28"/>
          <w:szCs w:val="28"/>
        </w:rPr>
        <w:t>正弦稳态电路的功率；5</w:t>
      </w:r>
      <w:r>
        <w:rPr>
          <w:rFonts w:ascii="仿宋_GB2312" w:hAnsi="宋体" w:eastAsia="仿宋_GB2312"/>
          <w:bCs/>
          <w:sz w:val="28"/>
          <w:szCs w:val="28"/>
        </w:rPr>
        <w:t>.</w:t>
      </w:r>
      <w:r>
        <w:rPr>
          <w:rFonts w:hint="eastAsia" w:ascii="仿宋_GB2312" w:hAnsi="宋体" w:eastAsia="仿宋_GB2312"/>
          <w:bCs/>
          <w:sz w:val="28"/>
          <w:szCs w:val="28"/>
        </w:rPr>
        <w:t>复功率；</w:t>
      </w:r>
      <w:r>
        <w:rPr>
          <w:rFonts w:ascii="仿宋_GB2312" w:hAnsi="宋体" w:eastAsia="仿宋_GB2312"/>
          <w:bCs/>
          <w:sz w:val="28"/>
          <w:szCs w:val="28"/>
        </w:rPr>
        <w:t>6</w:t>
      </w:r>
      <w:r>
        <w:rPr>
          <w:rFonts w:hint="eastAsia" w:ascii="仿宋_GB2312" w:hAnsi="宋体" w:eastAsia="仿宋_GB2312"/>
          <w:bCs/>
          <w:sz w:val="28"/>
          <w:szCs w:val="28"/>
        </w:rPr>
        <w:t>.最大功率传输。</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掌握正弦稳态电路的分析方法；掌握正弦稳态电路的</w:t>
      </w:r>
      <w:r>
        <w:rPr>
          <w:rFonts w:ascii="仿宋_GB2312" w:hAnsi="宋体" w:eastAsia="仿宋_GB2312"/>
          <w:bCs/>
          <w:sz w:val="28"/>
          <w:szCs w:val="28"/>
        </w:rPr>
        <w:t>有功</w:t>
      </w:r>
      <w:r>
        <w:rPr>
          <w:rFonts w:hint="eastAsia" w:ascii="仿宋_GB2312" w:hAnsi="宋体" w:eastAsia="仿宋_GB2312"/>
          <w:bCs/>
          <w:sz w:val="28"/>
          <w:szCs w:val="28"/>
        </w:rPr>
        <w:t>功率</w:t>
      </w:r>
      <w:r>
        <w:rPr>
          <w:rFonts w:ascii="仿宋_GB2312" w:hAnsi="宋体" w:eastAsia="仿宋_GB2312"/>
          <w:bCs/>
          <w:sz w:val="28"/>
          <w:szCs w:val="28"/>
        </w:rPr>
        <w:t>、无功功率、功率因数</w:t>
      </w:r>
      <w:r>
        <w:rPr>
          <w:rFonts w:hint="eastAsia" w:ascii="仿宋_GB2312" w:hAnsi="宋体" w:eastAsia="仿宋_GB2312"/>
          <w:bCs/>
          <w:sz w:val="28"/>
          <w:szCs w:val="28"/>
        </w:rPr>
        <w:t>和复功率概念和求法；掌握最大功率传输原理及其应用。</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（九）含耦合电感的电路</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ascii="仿宋_GB2312" w:hAnsi="宋体" w:eastAsia="仿宋_GB2312"/>
          <w:bCs/>
          <w:sz w:val="28"/>
          <w:szCs w:val="28"/>
        </w:rPr>
        <w:t>.</w:t>
      </w:r>
      <w:r>
        <w:rPr>
          <w:rFonts w:hint="eastAsia" w:ascii="仿宋_GB2312" w:hAnsi="宋体" w:eastAsia="仿宋_GB2312"/>
          <w:bCs/>
          <w:sz w:val="28"/>
          <w:szCs w:val="28"/>
        </w:rPr>
        <w:t>互感电路的计算、耦合电感的功率；2</w:t>
      </w:r>
      <w:r>
        <w:rPr>
          <w:rFonts w:ascii="仿宋_GB2312" w:hAnsi="宋体" w:eastAsia="仿宋_GB2312"/>
          <w:bCs/>
          <w:sz w:val="28"/>
          <w:szCs w:val="28"/>
        </w:rPr>
        <w:t>.</w:t>
      </w:r>
      <w:r>
        <w:rPr>
          <w:rFonts w:hint="eastAsia" w:ascii="仿宋_GB2312" w:hAnsi="宋体" w:eastAsia="仿宋_GB2312"/>
          <w:bCs/>
          <w:sz w:val="28"/>
          <w:szCs w:val="28"/>
        </w:rPr>
        <w:t>变压器原理</w:t>
      </w:r>
      <w:r>
        <w:rPr>
          <w:rFonts w:ascii="仿宋_GB2312" w:hAnsi="宋体" w:eastAsia="仿宋_GB2312"/>
          <w:bCs/>
          <w:sz w:val="28"/>
          <w:szCs w:val="28"/>
        </w:rPr>
        <w:t>及其</w:t>
      </w:r>
      <w:r>
        <w:rPr>
          <w:rFonts w:hint="eastAsia" w:ascii="仿宋_GB2312" w:hAnsi="宋体" w:eastAsia="仿宋_GB2312"/>
          <w:bCs/>
          <w:sz w:val="28"/>
          <w:szCs w:val="28"/>
        </w:rPr>
        <w:t>理想变压器。</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掌握含耦合电感电路的计算方法；掌握理想变压器电流电路的分析与计算。</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（十）电路的频率响应</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ascii="仿宋_GB2312" w:hAnsi="宋体" w:eastAsia="仿宋_GB2312"/>
          <w:bCs/>
          <w:sz w:val="28"/>
          <w:szCs w:val="28"/>
        </w:rPr>
        <w:t>.</w:t>
      </w:r>
      <w:r>
        <w:rPr>
          <w:rFonts w:hint="eastAsia" w:ascii="仿宋_GB2312" w:hAnsi="宋体" w:eastAsia="仿宋_GB2312"/>
          <w:bCs/>
          <w:sz w:val="28"/>
          <w:szCs w:val="28"/>
        </w:rPr>
        <w:t>网络函数；</w:t>
      </w:r>
      <w:r>
        <w:rPr>
          <w:rFonts w:ascii="仿宋_GB2312" w:hAnsi="宋体" w:eastAsia="仿宋_GB2312"/>
          <w:bCs/>
          <w:sz w:val="28"/>
          <w:szCs w:val="28"/>
        </w:rPr>
        <w:t>2</w:t>
      </w:r>
      <w:r>
        <w:rPr>
          <w:rFonts w:hint="eastAsia" w:ascii="仿宋_GB2312" w:hAnsi="宋体" w:eastAsia="仿宋_GB2312"/>
          <w:bCs/>
          <w:sz w:val="28"/>
          <w:szCs w:val="28"/>
        </w:rPr>
        <w:t>.RLC串</w:t>
      </w:r>
      <w:r>
        <w:rPr>
          <w:rFonts w:ascii="仿宋_GB2312" w:hAnsi="宋体" w:eastAsia="仿宋_GB2312"/>
          <w:bCs/>
          <w:sz w:val="28"/>
          <w:szCs w:val="28"/>
        </w:rPr>
        <w:t>并</w:t>
      </w:r>
      <w:r>
        <w:rPr>
          <w:rFonts w:hint="eastAsia" w:ascii="仿宋_GB2312" w:hAnsi="宋体" w:eastAsia="仿宋_GB2312"/>
          <w:bCs/>
          <w:sz w:val="28"/>
          <w:szCs w:val="28"/>
        </w:rPr>
        <w:t>联电路的频率响应</w:t>
      </w:r>
      <w:r>
        <w:rPr>
          <w:rFonts w:ascii="仿宋_GB2312" w:hAnsi="宋体" w:eastAsia="仿宋_GB2312"/>
          <w:bCs/>
          <w:sz w:val="28"/>
          <w:szCs w:val="28"/>
        </w:rPr>
        <w:t>及其</w:t>
      </w:r>
      <w:r>
        <w:rPr>
          <w:rFonts w:hint="eastAsia" w:ascii="仿宋_GB2312" w:hAnsi="宋体" w:eastAsia="仿宋_GB2312"/>
          <w:bCs/>
          <w:sz w:val="28"/>
          <w:szCs w:val="28"/>
        </w:rPr>
        <w:t>谐振</w:t>
      </w:r>
      <w:r>
        <w:rPr>
          <w:rFonts w:ascii="仿宋_GB2312" w:hAnsi="宋体" w:eastAsia="仿宋_GB2312"/>
          <w:bCs/>
          <w:sz w:val="28"/>
          <w:szCs w:val="28"/>
        </w:rPr>
        <w:t>时的</w:t>
      </w:r>
      <w:r>
        <w:rPr>
          <w:rFonts w:hint="eastAsia" w:ascii="仿宋_GB2312" w:hAnsi="宋体" w:eastAsia="仿宋_GB2312"/>
          <w:bCs/>
          <w:sz w:val="28"/>
          <w:szCs w:val="28"/>
        </w:rPr>
        <w:t>电路</w:t>
      </w:r>
      <w:r>
        <w:rPr>
          <w:rFonts w:ascii="仿宋_GB2312" w:hAnsi="宋体" w:eastAsia="仿宋_GB2312"/>
          <w:bCs/>
          <w:sz w:val="28"/>
          <w:szCs w:val="28"/>
        </w:rPr>
        <w:t>特性</w:t>
      </w:r>
      <w:r>
        <w:rPr>
          <w:rFonts w:hint="eastAsia" w:ascii="仿宋_GB2312" w:hAnsi="宋体" w:eastAsia="仿宋_GB2312"/>
          <w:bCs/>
          <w:sz w:val="28"/>
          <w:szCs w:val="28"/>
        </w:rPr>
        <w:t>。</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掌握RLC串并联电路的谐振条件；RLC串</w:t>
      </w:r>
      <w:r>
        <w:rPr>
          <w:rFonts w:ascii="仿宋_GB2312" w:hAnsi="宋体" w:eastAsia="仿宋_GB2312"/>
          <w:bCs/>
          <w:sz w:val="28"/>
          <w:szCs w:val="28"/>
        </w:rPr>
        <w:t>并</w:t>
      </w:r>
      <w:r>
        <w:rPr>
          <w:rFonts w:hint="eastAsia" w:ascii="仿宋_GB2312" w:hAnsi="宋体" w:eastAsia="仿宋_GB2312"/>
          <w:bCs/>
          <w:sz w:val="28"/>
          <w:szCs w:val="28"/>
        </w:rPr>
        <w:t>联电路的频率响应的分析方法。</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（十一）三相电路</w:t>
      </w:r>
    </w:p>
    <w:p>
      <w:pPr>
        <w:adjustRightInd w:val="0"/>
        <w:snapToGrid w:val="0"/>
        <w:spacing w:line="560" w:lineRule="exact"/>
        <w:ind w:firstLine="560" w:firstLineChars="200"/>
        <w:rPr>
          <w:rFonts w:hint="eastAsia" w:ascii="仿宋_GB2312" w:hAnsi="宋体" w:eastAsia="仿宋_GB2312"/>
          <w:bCs/>
          <w:sz w:val="28"/>
          <w:szCs w:val="28"/>
        </w:rPr>
      </w:pPr>
      <w:r>
        <w:rPr>
          <w:rFonts w:ascii="仿宋_GB2312" w:hAnsi="宋体" w:eastAsia="仿宋_GB2312"/>
          <w:bCs/>
          <w:sz w:val="28"/>
          <w:szCs w:val="28"/>
        </w:rPr>
        <w:t>1</w:t>
      </w:r>
      <w:r>
        <w:rPr>
          <w:rFonts w:hint="eastAsia" w:ascii="仿宋_GB2312" w:hAnsi="宋体" w:eastAsia="仿宋_GB2312"/>
          <w:bCs/>
          <w:sz w:val="28"/>
          <w:szCs w:val="28"/>
        </w:rPr>
        <w:t>.三相电路、线电压（电流）与相电压（电流）的关系；</w:t>
      </w:r>
      <w:r>
        <w:rPr>
          <w:rFonts w:ascii="仿宋_GB2312" w:hAnsi="宋体" w:eastAsia="仿宋_GB2312"/>
          <w:bCs/>
          <w:sz w:val="28"/>
          <w:szCs w:val="28"/>
        </w:rPr>
        <w:t>2</w:t>
      </w:r>
      <w:r>
        <w:rPr>
          <w:rFonts w:hint="eastAsia" w:ascii="仿宋_GB2312" w:hAnsi="宋体" w:eastAsia="仿宋_GB2312"/>
          <w:bCs/>
          <w:sz w:val="28"/>
          <w:szCs w:val="28"/>
        </w:rPr>
        <w:t>.对称三相电路的计算。</w:t>
      </w:r>
    </w:p>
    <w:p>
      <w:pPr>
        <w:adjustRightInd w:val="0"/>
        <w:snapToGrid w:val="0"/>
        <w:spacing w:line="56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掌握对称三相电路的分析计算方法；掌握对称三相电路的功率的计算方法。</w:t>
      </w:r>
    </w:p>
    <w:p>
      <w:pPr>
        <w:adjustRightInd w:val="0"/>
        <w:snapToGrid w:val="0"/>
        <w:spacing w:line="560" w:lineRule="exact"/>
        <w:rPr>
          <w:rFonts w:hint="eastAsia" w:ascii="楷体_GB2312" w:hAnsi="宋体" w:eastAsia="楷体_GB2312" w:cs="Times New Roman"/>
          <w:bCs/>
          <w:sz w:val="24"/>
          <w:szCs w:val="24"/>
        </w:rPr>
      </w:pPr>
      <w:r>
        <w:rPr>
          <w:rFonts w:hint="eastAsia" w:ascii="楷体_GB2312" w:hAnsi="宋体" w:eastAsia="楷体_GB2312" w:cs="Times New Roman"/>
          <w:bCs/>
          <w:sz w:val="24"/>
          <w:szCs w:val="24"/>
        </w:rPr>
        <w:t>（十二）二端口网络</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w:t>
      </w:r>
      <w:r>
        <w:rPr>
          <w:rFonts w:ascii="仿宋_GB2312" w:hAnsi="宋体" w:eastAsia="仿宋_GB2312"/>
          <w:bCs/>
          <w:sz w:val="28"/>
          <w:szCs w:val="28"/>
        </w:rPr>
        <w:t>.</w:t>
      </w:r>
      <w:r>
        <w:rPr>
          <w:rFonts w:hint="eastAsia" w:ascii="仿宋_GB2312" w:hAnsi="宋体" w:eastAsia="仿宋_GB2312"/>
          <w:bCs/>
          <w:sz w:val="28"/>
          <w:szCs w:val="28"/>
        </w:rPr>
        <w:t>二端口网络；</w:t>
      </w:r>
      <w:r>
        <w:rPr>
          <w:rFonts w:ascii="仿宋_GB2312" w:hAnsi="宋体" w:eastAsia="仿宋_GB2312"/>
          <w:bCs/>
          <w:sz w:val="28"/>
          <w:szCs w:val="28"/>
        </w:rPr>
        <w:t>2</w:t>
      </w:r>
      <w:r>
        <w:rPr>
          <w:rFonts w:hint="eastAsia" w:ascii="仿宋_GB2312" w:hAnsi="宋体" w:eastAsia="仿宋_GB2312"/>
          <w:bCs/>
          <w:sz w:val="28"/>
          <w:szCs w:val="28"/>
        </w:rPr>
        <w:t>.二端口的等效电路。</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掌握二端口</w:t>
      </w:r>
      <w:r>
        <w:rPr>
          <w:rFonts w:ascii="仿宋_GB2312" w:hAnsi="宋体" w:eastAsia="仿宋_GB2312"/>
          <w:bCs/>
          <w:sz w:val="28"/>
          <w:szCs w:val="28"/>
        </w:rPr>
        <w:t>网络的Z、Y、H</w:t>
      </w:r>
      <w:r>
        <w:rPr>
          <w:rFonts w:hint="eastAsia" w:ascii="仿宋_GB2312" w:hAnsi="宋体" w:eastAsia="仿宋_GB2312"/>
          <w:bCs/>
          <w:sz w:val="28"/>
          <w:szCs w:val="28"/>
        </w:rPr>
        <w:t>参数方程</w:t>
      </w:r>
      <w:r>
        <w:rPr>
          <w:rFonts w:ascii="仿宋_GB2312" w:hAnsi="宋体" w:eastAsia="仿宋_GB2312"/>
          <w:bCs/>
          <w:sz w:val="28"/>
          <w:szCs w:val="28"/>
        </w:rPr>
        <w:t>的</w:t>
      </w:r>
      <w:r>
        <w:rPr>
          <w:rFonts w:hint="eastAsia" w:ascii="仿宋_GB2312" w:hAnsi="宋体" w:eastAsia="仿宋_GB2312"/>
          <w:bCs/>
          <w:sz w:val="28"/>
          <w:szCs w:val="28"/>
        </w:rPr>
        <w:t>列写方法；掌握二端口网络的等效电路</w:t>
      </w:r>
      <w:r>
        <w:rPr>
          <w:rFonts w:ascii="仿宋_GB2312" w:hAnsi="宋体" w:eastAsia="仿宋_GB2312"/>
          <w:bCs/>
          <w:sz w:val="28"/>
          <w:szCs w:val="28"/>
        </w:rPr>
        <w:t>及其参数的含义</w:t>
      </w:r>
      <w:r>
        <w:rPr>
          <w:rFonts w:hint="eastAsia" w:ascii="仿宋_GB2312" w:hAnsi="宋体" w:eastAsia="仿宋_GB2312"/>
          <w:bCs/>
          <w:sz w:val="28"/>
          <w:szCs w:val="28"/>
        </w:rPr>
        <w:t>。</w:t>
      </w:r>
    </w:p>
    <w:p>
      <w:pPr>
        <w:spacing w:line="560" w:lineRule="exact"/>
        <w:rPr>
          <w:rFonts w:ascii="黑体" w:hAnsi="宋体" w:eastAsia="黑体"/>
          <w:bCs/>
          <w:sz w:val="28"/>
          <w:szCs w:val="28"/>
        </w:rPr>
      </w:pPr>
      <w:r>
        <w:rPr>
          <w:rFonts w:hint="eastAsia" w:ascii="黑体" w:hAnsi="宋体" w:eastAsia="黑体"/>
          <w:bCs/>
          <w:sz w:val="28"/>
          <w:szCs w:val="28"/>
        </w:rPr>
        <w:t>六、参考书目</w:t>
      </w:r>
    </w:p>
    <w:p>
      <w:pPr>
        <w:adjustRightInd w:val="0"/>
        <w:snapToGrid w:val="0"/>
        <w:spacing w:line="56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《电路》（第五版），邱关源、罗先觉主编．高等教育出版社，2006年5月。</w:t>
      </w:r>
    </w:p>
    <w:p>
      <w:pPr>
        <w:adjustRightInd w:val="0"/>
        <w:snapToGrid w:val="0"/>
        <w:spacing w:line="560" w:lineRule="exact"/>
        <w:ind w:firstLine="562" w:firstLineChars="200"/>
        <w:rPr>
          <w:rFonts w:ascii="仿宋_GB2312" w:hAnsi="宋体" w:eastAsia="仿宋_GB2312"/>
          <w:bCs/>
          <w:color w:val="0000FF"/>
          <w:sz w:val="28"/>
          <w:szCs w:val="28"/>
        </w:rPr>
      </w:pPr>
      <w:r>
        <w:rPr>
          <w:rFonts w:hint="eastAsia" w:ascii="仿宋_GB2312" w:hAnsi="宋体" w:eastAsia="仿宋_GB2312"/>
          <w:b/>
          <w:bCs w:val="0"/>
          <w:color w:val="0000FF"/>
          <w:sz w:val="28"/>
          <w:szCs w:val="28"/>
        </w:rPr>
        <w:t>备注：</w:t>
      </w:r>
      <w:r>
        <w:rPr>
          <w:rFonts w:hint="eastAsia" w:ascii="仿宋_GB2312" w:hAnsi="宋体" w:eastAsia="仿宋_GB2312" w:cs="Times New Roman"/>
          <w:b/>
          <w:bCs w:val="0"/>
          <w:color w:val="0000FF"/>
          <w:sz w:val="28"/>
          <w:szCs w:val="28"/>
        </w:rPr>
        <w:t>本科目考试</w:t>
      </w:r>
      <w:r>
        <w:rPr>
          <w:rFonts w:hint="eastAsia" w:ascii="仿宋_GB2312" w:hAnsi="宋体" w:eastAsia="仿宋_GB2312" w:cs="Times New Roman"/>
          <w:b/>
          <w:bCs w:val="0"/>
          <w:color w:val="0000FF"/>
          <w:sz w:val="28"/>
          <w:szCs w:val="28"/>
          <w:lang w:val="en-US" w:eastAsia="zh-CN"/>
        </w:rPr>
        <w:t>可携带</w:t>
      </w:r>
      <w:r>
        <w:rPr>
          <w:rFonts w:hint="eastAsia" w:ascii="仿宋_GB2312" w:hAnsi="宋体" w:eastAsia="仿宋_GB2312" w:cs="Times New Roman"/>
          <w:b/>
          <w:bCs w:val="0"/>
          <w:color w:val="0000FF"/>
          <w:sz w:val="28"/>
          <w:szCs w:val="28"/>
        </w:rPr>
        <w:t>不具备存储功能的计算器。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46DD091-C786-471F-AE52-A20DA2A327E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0" w:usb1="00000000" w:usb2="00000000" w:usb3="00000000" w:csb0="00000000" w:csb1="00000000"/>
    <w:embedRegular r:id="rId2" w:fontKey="{26EB659D-D49A-4070-B553-2387829D443A}"/>
  </w:font>
  <w:font w:name="仿宋_GB2312">
    <w:altName w:val="仿宋"/>
    <w:panose1 w:val="02010609030101010101"/>
    <w:charset w:val="86"/>
    <w:family w:val="modern"/>
    <w:pitch w:val="default"/>
    <w:sig w:usb0="00000001" w:usb1="080E0000" w:usb2="00000010" w:usb3="00000000" w:csb0="00040000" w:csb1="00000000"/>
    <w:embedRegular r:id="rId3" w:fontKey="{00E69005-E30E-494B-8DCC-0C0EFAB66187}"/>
  </w:font>
  <w:font w:name="楷体_GB2312">
    <w:altName w:val="楷体"/>
    <w:panose1 w:val="00000000000000000000"/>
    <w:charset w:val="86"/>
    <w:family w:val="modern"/>
    <w:pitch w:val="default"/>
    <w:sig w:usb0="00000000" w:usb1="00000000" w:usb2="00000000" w:usb3="00000000" w:csb0="00040000" w:csb1="00000000"/>
    <w:embedRegular r:id="rId4" w:fontKey="{C25A73F1-B95B-4C43-A13A-B8FED79956D4}"/>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A4"/>
    <w:rsid w:val="000075C4"/>
    <w:rsid w:val="000562A5"/>
    <w:rsid w:val="000770B4"/>
    <w:rsid w:val="00093F05"/>
    <w:rsid w:val="000F48E6"/>
    <w:rsid w:val="001D5037"/>
    <w:rsid w:val="00224CAD"/>
    <w:rsid w:val="0023245C"/>
    <w:rsid w:val="002943D6"/>
    <w:rsid w:val="002D0D5F"/>
    <w:rsid w:val="002D410C"/>
    <w:rsid w:val="002D6640"/>
    <w:rsid w:val="002D74BD"/>
    <w:rsid w:val="00483BBF"/>
    <w:rsid w:val="004A5F40"/>
    <w:rsid w:val="004F62BF"/>
    <w:rsid w:val="005328D7"/>
    <w:rsid w:val="005371DA"/>
    <w:rsid w:val="005E09EA"/>
    <w:rsid w:val="006366CA"/>
    <w:rsid w:val="006D242F"/>
    <w:rsid w:val="00717CAA"/>
    <w:rsid w:val="00721B2B"/>
    <w:rsid w:val="00730C9A"/>
    <w:rsid w:val="007433B0"/>
    <w:rsid w:val="00757BAE"/>
    <w:rsid w:val="00760963"/>
    <w:rsid w:val="00776ECA"/>
    <w:rsid w:val="007A19BA"/>
    <w:rsid w:val="007F39DE"/>
    <w:rsid w:val="008708F0"/>
    <w:rsid w:val="008D2187"/>
    <w:rsid w:val="008D72A6"/>
    <w:rsid w:val="008E6034"/>
    <w:rsid w:val="009065BB"/>
    <w:rsid w:val="0093407A"/>
    <w:rsid w:val="009C45CA"/>
    <w:rsid w:val="009F669F"/>
    <w:rsid w:val="00A83DE6"/>
    <w:rsid w:val="00A95368"/>
    <w:rsid w:val="00AA5E95"/>
    <w:rsid w:val="00AE7577"/>
    <w:rsid w:val="00B4578A"/>
    <w:rsid w:val="00B865F3"/>
    <w:rsid w:val="00BB09A4"/>
    <w:rsid w:val="00C47004"/>
    <w:rsid w:val="00C73B80"/>
    <w:rsid w:val="00CD23E7"/>
    <w:rsid w:val="00D54E8C"/>
    <w:rsid w:val="00E8779D"/>
    <w:rsid w:val="00E9361A"/>
    <w:rsid w:val="00F66B47"/>
    <w:rsid w:val="00F752F2"/>
    <w:rsid w:val="00FC02FC"/>
    <w:rsid w:val="00FD5756"/>
    <w:rsid w:val="00FF0412"/>
    <w:rsid w:val="04ED6D61"/>
    <w:rsid w:val="076F9713"/>
    <w:rsid w:val="17325370"/>
    <w:rsid w:val="174A2B14"/>
    <w:rsid w:val="1FFF3BE6"/>
    <w:rsid w:val="237B081E"/>
    <w:rsid w:val="25D27C1A"/>
    <w:rsid w:val="2F562DA6"/>
    <w:rsid w:val="3354553F"/>
    <w:rsid w:val="3C197A1D"/>
    <w:rsid w:val="3EEF3646"/>
    <w:rsid w:val="3F847DC8"/>
    <w:rsid w:val="3FCF1D3E"/>
    <w:rsid w:val="43F27A04"/>
    <w:rsid w:val="456A5871"/>
    <w:rsid w:val="47216B57"/>
    <w:rsid w:val="538B0BE5"/>
    <w:rsid w:val="588B35D6"/>
    <w:rsid w:val="58A970D5"/>
    <w:rsid w:val="5E814B0B"/>
    <w:rsid w:val="6D613E8A"/>
    <w:rsid w:val="71BF3B14"/>
    <w:rsid w:val="75FF3FFC"/>
    <w:rsid w:val="76B80EB0"/>
    <w:rsid w:val="77EB6A54"/>
    <w:rsid w:val="7EEF1CBE"/>
    <w:rsid w:val="7F7EB32D"/>
    <w:rsid w:val="7FEFCD41"/>
    <w:rsid w:val="7FF52C06"/>
    <w:rsid w:val="95FDF2A4"/>
    <w:rsid w:val="9DD9F76B"/>
    <w:rsid w:val="A3FF5159"/>
    <w:rsid w:val="A7ED7136"/>
    <w:rsid w:val="BC932272"/>
    <w:rsid w:val="DBFF7775"/>
    <w:rsid w:val="EF7F0B7F"/>
    <w:rsid w:val="F7DD0FC9"/>
    <w:rsid w:val="FBDD5ECF"/>
    <w:rsid w:val="FF77A3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5"/>
      <w:tblCellMar>
        <w:top w:w="0" w:type="dxa"/>
        <w:left w:w="108" w:type="dxa"/>
        <w:bottom w:w="0" w:type="dxa"/>
        <w:right w:w="108" w:type="dxa"/>
      </w:tblCellMar>
    </w:tblPr>
  </w:style>
  <w:style w:type="paragraph" w:styleId="2">
    <w:name w:val="annotation text"/>
    <w:basedOn w:val="1"/>
    <w:unhideWhenUsed/>
    <w:uiPriority w:val="0"/>
    <w:pPr>
      <w:jc w:val="left"/>
    </w:p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1 Char"/>
    <w:basedOn w:val="1"/>
    <w:uiPriority w:val="0"/>
    <w:pPr>
      <w:widowControl/>
      <w:spacing w:after="160" w:line="240" w:lineRule="exact"/>
      <w:jc w:val="left"/>
    </w:pPr>
  </w:style>
  <w:style w:type="character" w:customStyle="1" w:styleId="8">
    <w:name w:val="页脚 字符"/>
    <w:link w:val="3"/>
    <w:uiPriority w:val="0"/>
    <w:rPr>
      <w:kern w:val="2"/>
      <w:sz w:val="18"/>
      <w:szCs w:val="18"/>
    </w:rPr>
  </w:style>
  <w:style w:type="character" w:customStyle="1" w:styleId="9">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5</Pages>
  <Words>1839</Words>
  <Characters>1927</Characters>
  <Lines>14</Lines>
  <Paragraphs>4</Paragraphs>
  <TotalTime>50</TotalTime>
  <ScaleCrop>false</ScaleCrop>
  <LinksUpToDate>false</LinksUpToDate>
  <CharactersWithSpaces>1950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2021-09-27T07:59:00Z</dcterms:created>
  <dc:creator>FtpDown</dc:creator>
  <cp:lastModifiedBy>vertesyuan</cp:lastModifiedBy>
  <cp:lastPrinted>2019-07-09T14:36:00Z</cp:lastPrinted>
  <dcterms:modified xsi:type="dcterms:W3CDTF">2021-11-26T05:45:26Z</dcterms:modified>
  <dc:title>沈阳农业大学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87239793EF9D44798A9FBA54CF29DAC9</vt:lpwstr>
  </property>
</Properties>
</file>