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bidi="hi-IN"/>
        </w:rPr>
        <w:t>20</w:t>
      </w:r>
      <w:r>
        <w:rPr>
          <w:rFonts w:hint="eastAsia"/>
          <w:sz w:val="40"/>
          <w:szCs w:val="40"/>
          <w:lang w:bidi="hi-IN"/>
        </w:rPr>
        <w:t>2</w:t>
      </w:r>
      <w:r>
        <w:rPr>
          <w:rFonts w:hint="eastAsia"/>
          <w:sz w:val="40"/>
          <w:szCs w:val="40"/>
          <w:lang w:val="en-US" w:eastAsia="zh-CN" w:bidi="hi-IN"/>
        </w:rPr>
        <w:t>2</w:t>
      </w:r>
      <w:r>
        <w:rPr>
          <w:rFonts w:hint="eastAsia" w:eastAsia="黑体"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hint="eastAsia" w:hAnsi="宋体"/>
          <w:sz w:val="24"/>
          <w:lang w:bidi="hi-IN"/>
        </w:rPr>
      </w:pPr>
      <w:r>
        <w:rPr>
          <w:rFonts w:hint="eastAsia" w:eastAsia="方正书宋简体"/>
          <w:sz w:val="24"/>
        </w:rPr>
        <w:t>考试科目代码：</w:t>
      </w:r>
      <w:r>
        <w:rPr>
          <w:rFonts w:eastAsia="方正书宋简体"/>
          <w:sz w:val="24"/>
        </w:rPr>
        <w:t>[</w:t>
      </w:r>
      <w:r>
        <w:rPr>
          <w:rFonts w:hint="eastAsia" w:eastAsia="方正书宋简体"/>
          <w:sz w:val="24"/>
        </w:rPr>
        <w:t xml:space="preserve">  </w:t>
      </w:r>
      <w:r>
        <w:rPr>
          <w:rFonts w:eastAsia="方正书宋简体"/>
          <w:sz w:val="24"/>
        </w:rPr>
        <w:t xml:space="preserve">]               </w:t>
      </w:r>
      <w:r>
        <w:rPr>
          <w:rFonts w:hint="eastAsia" w:eastAsia="方正书宋简体"/>
          <w:sz w:val="24"/>
        </w:rPr>
        <w:t>考试科目名称：</w:t>
      </w:r>
      <w:r>
        <w:rPr>
          <w:rFonts w:hint="eastAsia" w:hAnsi="宋体"/>
          <w:sz w:val="24"/>
          <w:lang w:bidi="hi-IN"/>
        </w:rPr>
        <w:t>金融学</w:t>
      </w:r>
    </w:p>
    <w:p>
      <w:pPr>
        <w:spacing w:line="500" w:lineRule="exact"/>
        <w:jc w:val="center"/>
        <w:rPr>
          <w:rFonts w:hint="eastAsia" w:hAnsi="宋体"/>
          <w:sz w:val="24"/>
          <w:lang w:bidi="hi-IN"/>
        </w:rPr>
      </w:pPr>
    </w:p>
    <w:p>
      <w:pPr>
        <w:spacing w:before="156" w:beforeLines="50" w:after="156" w:afterLines="50" w:line="5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一、试卷结构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1、试卷成绩及考试时间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本试卷满分为150分，考试时间为120分钟。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2、答题方式：</w:t>
      </w:r>
      <w:r>
        <w:rPr>
          <w:rFonts w:hint="eastAsia" w:ascii="仿宋" w:hAnsi="仿宋" w:eastAsia="仿宋"/>
          <w:sz w:val="32"/>
          <w:szCs w:val="32"/>
          <w:lang w:bidi="hi-IN"/>
        </w:rPr>
        <w:t>闭卷、笔试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3、试卷内容结构</w:t>
      </w:r>
    </w:p>
    <w:p>
      <w:pPr>
        <w:spacing w:before="156" w:beforeLines="50" w:after="156" w:afterLines="50" w:line="500" w:lineRule="exact"/>
        <w:ind w:left="642" w:leftChars="292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</w:rPr>
        <w:t>货币、信用与金融（20），金融中介与金融市场（40），货币均衡与宏观政策（40）、金融运行的微观机制（30）、金融发展与稳定机制（20）。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4、题型结构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名词解释题：8小题，每小题5分，共40分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简  答  题：7小题，每小题10分，共70分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论  述  题：2小题，每小题 20分，共40分</w:t>
      </w:r>
    </w:p>
    <w:p>
      <w:pPr>
        <w:spacing w:before="156" w:beforeLines="50" w:after="156" w:afterLines="50" w:line="500" w:lineRule="exact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●考试目标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1</w:t>
      </w:r>
      <w:r>
        <w:rPr>
          <w:rFonts w:hint="eastAsia" w:ascii="仿宋" w:hAnsi="仿宋" w:eastAsia="仿宋"/>
          <w:sz w:val="32"/>
          <w:szCs w:val="32"/>
          <w:lang w:bidi="hi-IN"/>
        </w:rPr>
        <w:t>、认识课程的性质、研究对象及任务，掌握课程的基本内容、体系和结构。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2、掌握金融学的</w:t>
      </w:r>
      <w:r>
        <w:rPr>
          <w:rFonts w:ascii="仿宋" w:hAnsi="仿宋" w:eastAsia="仿宋"/>
          <w:sz w:val="32"/>
          <w:szCs w:val="32"/>
          <w:lang w:bidi="hi-IN"/>
        </w:rPr>
        <w:t>基本概念、基本理论</w:t>
      </w:r>
      <w:r>
        <w:rPr>
          <w:rFonts w:hint="eastAsia" w:ascii="仿宋" w:hAnsi="仿宋" w:eastAsia="仿宋"/>
          <w:sz w:val="32"/>
          <w:szCs w:val="32"/>
          <w:lang w:bidi="hi-IN"/>
        </w:rPr>
        <w:t>及基本研究方法，</w:t>
      </w:r>
      <w:r>
        <w:rPr>
          <w:rFonts w:ascii="仿宋" w:hAnsi="仿宋" w:eastAsia="仿宋"/>
          <w:sz w:val="32"/>
          <w:szCs w:val="32"/>
          <w:lang w:bidi="hi-IN"/>
        </w:rPr>
        <w:t>对货币、信用、</w:t>
      </w:r>
      <w:r>
        <w:rPr>
          <w:rFonts w:hint="eastAsia" w:ascii="仿宋" w:hAnsi="仿宋" w:eastAsia="仿宋"/>
          <w:sz w:val="32"/>
          <w:szCs w:val="32"/>
          <w:lang w:bidi="hi-IN"/>
        </w:rPr>
        <w:t>金融、</w:t>
      </w:r>
      <w:r>
        <w:rPr>
          <w:rFonts w:ascii="仿宋" w:hAnsi="仿宋" w:eastAsia="仿宋"/>
          <w:sz w:val="32"/>
          <w:szCs w:val="32"/>
          <w:lang w:bidi="hi-IN"/>
        </w:rPr>
        <w:t>利率、</w:t>
      </w:r>
      <w:r>
        <w:rPr>
          <w:rFonts w:hint="eastAsia" w:ascii="仿宋" w:hAnsi="仿宋" w:eastAsia="仿宋"/>
          <w:sz w:val="32"/>
          <w:szCs w:val="32"/>
          <w:lang w:bidi="hi-IN"/>
        </w:rPr>
        <w:t>外汇、汇率、</w:t>
      </w:r>
      <w:r>
        <w:rPr>
          <w:rFonts w:ascii="仿宋" w:hAnsi="仿宋" w:eastAsia="仿宋"/>
          <w:sz w:val="32"/>
          <w:szCs w:val="32"/>
          <w:lang w:bidi="hi-IN"/>
        </w:rPr>
        <w:t>金融机构、金融市场、</w:t>
      </w:r>
      <w:r>
        <w:rPr>
          <w:rFonts w:hint="eastAsia" w:ascii="仿宋" w:hAnsi="仿宋" w:eastAsia="仿宋"/>
          <w:sz w:val="32"/>
          <w:szCs w:val="32"/>
          <w:lang w:bidi="hi-IN"/>
        </w:rPr>
        <w:t>货币供求及内外均衡、</w:t>
      </w:r>
      <w:r>
        <w:rPr>
          <w:rFonts w:ascii="仿宋" w:hAnsi="仿宋" w:eastAsia="仿宋"/>
          <w:sz w:val="32"/>
          <w:szCs w:val="32"/>
          <w:lang w:bidi="hi-IN"/>
        </w:rPr>
        <w:t>金融宏观调控、金融监管等基本范畴、内在关系及其运动规律有较系统的掌握。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3、</w:t>
      </w:r>
      <w:r>
        <w:rPr>
          <w:rFonts w:ascii="仿宋" w:hAnsi="仿宋" w:eastAsia="仿宋"/>
          <w:sz w:val="32"/>
          <w:szCs w:val="32"/>
          <w:lang w:bidi="hi-IN"/>
        </w:rPr>
        <w:t>了解国内外金融问题的现状</w:t>
      </w:r>
      <w:r>
        <w:rPr>
          <w:rFonts w:hint="eastAsia" w:ascii="仿宋" w:hAnsi="仿宋" w:eastAsia="仿宋"/>
          <w:sz w:val="32"/>
          <w:szCs w:val="32"/>
          <w:lang w:bidi="hi-IN"/>
        </w:rPr>
        <w:t>及热点问题</w:t>
      </w:r>
      <w:r>
        <w:rPr>
          <w:rFonts w:ascii="仿宋" w:hAnsi="仿宋" w:eastAsia="仿宋"/>
          <w:sz w:val="32"/>
          <w:szCs w:val="32"/>
          <w:lang w:bidi="hi-IN"/>
        </w:rPr>
        <w:t>，掌握观察和分析金融问题的正确方法</w:t>
      </w:r>
      <w:r>
        <w:rPr>
          <w:rFonts w:hint="eastAsia" w:ascii="仿宋" w:hAnsi="仿宋" w:eastAsia="仿宋"/>
          <w:sz w:val="32"/>
          <w:szCs w:val="32"/>
          <w:lang w:bidi="hi-IN"/>
        </w:rPr>
        <w:t>。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4、具有</w:t>
      </w:r>
      <w:r>
        <w:rPr>
          <w:rFonts w:ascii="仿宋" w:hAnsi="仿宋" w:eastAsia="仿宋"/>
          <w:sz w:val="32"/>
          <w:szCs w:val="32"/>
          <w:lang w:bidi="hi-IN"/>
        </w:rPr>
        <w:t>辨析</w:t>
      </w:r>
      <w:r>
        <w:rPr>
          <w:rFonts w:hint="eastAsia" w:ascii="仿宋" w:hAnsi="仿宋" w:eastAsia="仿宋"/>
          <w:sz w:val="32"/>
          <w:szCs w:val="32"/>
          <w:lang w:bidi="hi-IN"/>
        </w:rPr>
        <w:t>基本</w:t>
      </w:r>
      <w:r>
        <w:rPr>
          <w:rFonts w:ascii="仿宋" w:hAnsi="仿宋" w:eastAsia="仿宋"/>
          <w:sz w:val="32"/>
          <w:szCs w:val="32"/>
          <w:lang w:bidi="hi-IN"/>
        </w:rPr>
        <w:t>金融理论和解决金融实际问题的能力</w:t>
      </w:r>
      <w:r>
        <w:rPr>
          <w:rFonts w:hint="eastAsia" w:ascii="仿宋" w:hAnsi="仿宋" w:eastAsia="仿宋"/>
          <w:sz w:val="32"/>
          <w:szCs w:val="32"/>
          <w:lang w:bidi="hi-IN"/>
        </w:rPr>
        <w:t>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●考试内容</w:t>
      </w:r>
    </w:p>
    <w:p>
      <w:pPr>
        <w:spacing w:before="156" w:beforeLines="50" w:after="156" w:afterLines="50"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货币、信用与金融部分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（一）货币与货币制度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 经济生活中处处有货币。</w:t>
      </w:r>
    </w:p>
    <w:p>
      <w:pPr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2、货币的起源。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3、货币形态的演变。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4、货币的职能。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5、货币的界说（本质）。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6、货币制度。</w:t>
      </w:r>
    </w:p>
    <w:p>
      <w:pPr>
        <w:pStyle w:val="6"/>
        <w:spacing w:before="0" w:beforeAutospacing="0" w:after="0" w:afterAutospacing="0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（二）国际货币体系与汇率制度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1、国际货币体系。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2、外汇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3、汇率与汇率制度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4、汇率与币值、汇率的决定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5、汇率与利率，汇率的作用与风险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（三）信用、利息与信用形式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1、信用及其与货币的联系。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2、高利贷。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3、信用活动的基础。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4、信用的形式。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5、股份公司。</w:t>
      </w:r>
    </w:p>
    <w:p>
      <w:pPr>
        <w:pStyle w:val="5"/>
        <w:numPr>
          <w:ilvl w:val="0"/>
          <w:numId w:val="0"/>
        </w:numPr>
        <w:ind w:left="746" w:leftChars="290" w:hanging="108" w:hangingChars="34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6、利息和利率。</w:t>
      </w:r>
    </w:p>
    <w:p>
      <w:pPr>
        <w:tabs>
          <w:tab w:val="left" w:pos="156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7、利率及其种类。</w:t>
      </w:r>
    </w:p>
    <w:p>
      <w:pPr>
        <w:tabs>
          <w:tab w:val="left" w:pos="156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8、单利与复利。</w:t>
      </w:r>
    </w:p>
    <w:p>
      <w:pPr>
        <w:tabs>
          <w:tab w:val="left" w:pos="156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（四）金融范畴的形成与发展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1、金融及其涵盖的领域。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2、金融范畴的形成及其界定。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1560"/>
        </w:tabs>
        <w:spacing w:after="0" w:line="24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金融中介与金融市场部分</w:t>
      </w:r>
    </w:p>
    <w:p>
      <w:pPr>
        <w:tabs>
          <w:tab w:val="left" w:pos="156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（一）金融中介体系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1、金融中介及其包括的范围。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2、西方国家的金融中介体系。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3、我国金融机构体系。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4、国际金融机构体系。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（二）存款货币银行</w:t>
      </w:r>
    </w:p>
    <w:p>
      <w:pPr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1、商业银行的产生和发展。</w:t>
      </w:r>
    </w:p>
    <w:p>
      <w:pPr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2、金融创新。</w:t>
      </w:r>
    </w:p>
    <w:p>
      <w:pPr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3、存款保险制度。</w:t>
      </w:r>
    </w:p>
    <w:p>
      <w:pPr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（三）中央银行</w:t>
      </w:r>
    </w:p>
    <w:p>
      <w:pPr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1、中央银行的产生及类型。</w:t>
      </w:r>
    </w:p>
    <w:p>
      <w:pPr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2、中央银行的职能。</w:t>
      </w:r>
    </w:p>
    <w:p>
      <w:pPr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3、中央银行体制下的支付清算制度。</w:t>
      </w:r>
    </w:p>
    <w:p>
      <w:pPr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（四）金融市场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1、金融市场及其要素。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2、货币市场与资本市场。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3、衍生工具市场。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4、投资基金。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5、外汇市场与黄金市场。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6、风险投资与创业板市场。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7、金融市场的国际化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（五）资本市场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1、股票市场。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2、长期债券市场。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3、初级市场与二级市场。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4、证券市场的监管。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（六）金融体系结构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1、金融中介、金融中介机构、金融机构。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2、联合国统计署和SNA的分类。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3、金融服务业与一般产业的异同。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（七）金融基础设施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1、支付清算系统和中央银行组织全国清算的职责。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2、常用的清算方式。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3、票据交换所的工作程序。</w:t>
      </w:r>
    </w:p>
    <w:p>
      <w:pPr>
        <w:spacing w:after="0" w:line="24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货币均衡与宏观政策部分</w:t>
      </w:r>
    </w:p>
    <w:p>
      <w:pPr>
        <w:pStyle w:val="6"/>
        <w:spacing w:before="0" w:beforeAutospacing="0" w:after="0" w:afterAutospacing="0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（一）利率的决定及作用</w:t>
      </w:r>
    </w:p>
    <w:p>
      <w:pPr>
        <w:tabs>
          <w:tab w:val="left" w:pos="156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1、马克思的利率决定论。</w:t>
      </w:r>
    </w:p>
    <w:p>
      <w:pPr>
        <w:tabs>
          <w:tab w:val="left" w:pos="156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2、西方经济学关于利率决定分析。</w:t>
      </w:r>
    </w:p>
    <w:p>
      <w:pPr>
        <w:tabs>
          <w:tab w:val="left" w:pos="156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3、影响利率因素的综合分析。</w:t>
      </w:r>
    </w:p>
    <w:p>
      <w:pPr>
        <w:tabs>
          <w:tab w:val="left" w:pos="156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4、利率管制。</w:t>
      </w:r>
    </w:p>
    <w:p>
      <w:pPr>
        <w:pStyle w:val="6"/>
        <w:spacing w:before="0" w:beforeAutospacing="0" w:after="0" w:afterAutospacing="0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5、利率的作用。</w:t>
      </w:r>
    </w:p>
    <w:p>
      <w:pPr>
        <w:pStyle w:val="6"/>
        <w:spacing w:before="0" w:beforeAutospacing="0" w:after="0" w:afterAutospacing="0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（二）货币需求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1、货币需求理论的发展。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2、货币需求的宏观与微观视角。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（三）现代货币创造机制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1、现代的货币都是信用货币。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2、存款货币的创造。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3、中央银行体制下的货币创造过程。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（四）货币供给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1、货币供给及其口径。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2、货币供给的控制机制。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3、财政收支与货币供给。</w:t>
      </w:r>
    </w:p>
    <w:p>
      <w:pPr>
        <w:tabs>
          <w:tab w:val="left" w:pos="141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（五）货币均衡与总供求</w:t>
      </w:r>
    </w:p>
    <w:p>
      <w:pPr>
        <w:tabs>
          <w:tab w:val="left" w:pos="141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1、货币均衡与非均衡的基本含义。</w:t>
      </w:r>
    </w:p>
    <w:p>
      <w:pPr>
        <w:tabs>
          <w:tab w:val="left" w:pos="141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2、货币均衡与利率。</w:t>
      </w:r>
    </w:p>
    <w:p>
      <w:pPr>
        <w:tabs>
          <w:tab w:val="left" w:pos="141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3、市场总供求与货币供求之间的关系。</w:t>
      </w:r>
    </w:p>
    <w:p>
      <w:pPr>
        <w:tabs>
          <w:tab w:val="left" w:pos="141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4、货币供给的产出效应及其扩张界限。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5、我国对均衡境界的追求和理论探索。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（六）开放经济的均衡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 国际收支。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2、国际收支的调节与国际储备。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3、国际资本流动。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4、对外收支与货币均衡、与总供求均衡。</w:t>
      </w:r>
    </w:p>
    <w:p>
      <w:pPr>
        <w:tabs>
          <w:tab w:val="left" w:pos="141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（七）通货膨胀与通货紧缩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1、通货膨胀及其度量。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2、通货膨胀的经济社会效应。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3、通货膨胀的成因及其治理。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4、通货紧缩。</w:t>
      </w:r>
    </w:p>
    <w:p>
      <w:pPr>
        <w:tabs>
          <w:tab w:val="left" w:pos="141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（八）货币政策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1、货币政策及其目标。</w:t>
      </w:r>
    </w:p>
    <w:p>
      <w:pPr>
        <w:tabs>
          <w:tab w:val="left" w:pos="69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2、货币政策工具、传导机制和中介指标。</w:t>
      </w:r>
    </w:p>
    <w:p>
      <w:pPr>
        <w:tabs>
          <w:tab w:val="left" w:pos="69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3、货币政策效应。</w:t>
      </w:r>
    </w:p>
    <w:p>
      <w:pPr>
        <w:tabs>
          <w:tab w:val="left" w:pos="69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4、汇率政策。</w:t>
      </w:r>
    </w:p>
    <w:p>
      <w:pPr>
        <w:tabs>
          <w:tab w:val="left" w:pos="69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（九）货币政策与财政政策的配合</w:t>
      </w:r>
    </w:p>
    <w:p>
      <w:pPr>
        <w:tabs>
          <w:tab w:val="left" w:pos="69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1、货币政策与财政政策配合的必要性。</w:t>
      </w:r>
    </w:p>
    <w:p>
      <w:pPr>
        <w:tabs>
          <w:tab w:val="left" w:pos="69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2、配合模式。</w:t>
      </w:r>
    </w:p>
    <w:p>
      <w:pPr>
        <w:tabs>
          <w:tab w:val="left" w:pos="141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（十）开放条件下的政策搭配与协调</w:t>
      </w:r>
    </w:p>
    <w:p>
      <w:pPr>
        <w:tabs>
          <w:tab w:val="left" w:pos="69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1、开放条件下货币政策的国际传导。</w:t>
      </w:r>
    </w:p>
    <w:p>
      <w:pPr>
        <w:tabs>
          <w:tab w:val="left" w:pos="69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2、国际经济政策协调的理论。</w:t>
      </w:r>
    </w:p>
    <w:p>
      <w:pPr>
        <w:tabs>
          <w:tab w:val="left" w:pos="690"/>
        </w:tabs>
        <w:spacing w:after="0" w:line="240" w:lineRule="auto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1410"/>
        </w:tabs>
        <w:spacing w:after="0" w:line="24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金融运行的微观机制部分</w:t>
      </w:r>
    </w:p>
    <w:p>
      <w:pPr>
        <w:tabs>
          <w:tab w:val="left" w:pos="1410"/>
        </w:tabs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（一）利率的风险结构与期限结构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1、利率的风险结构。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2、什么是利率的期限结构。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3、即期利率与远期利率。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4、到期收益率。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（二）资产组合与资产定价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1、资产组合。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2、投资分散化与风险。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3、资产定价模型。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4、期权定价模型。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（三）商业银行业务与管理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1、负债业务。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2、资产业务。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3、中间业务和表外业务。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4、分业经营与混业经营。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5、经营原则与管理。</w:t>
      </w:r>
    </w:p>
    <w:p>
      <w:pPr>
        <w:spacing w:after="0"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spacing w:before="0" w:beforeAutospacing="0" w:after="0" w:afterAutospacing="0"/>
        <w:ind w:left="642" w:leftChars="292" w:firstLine="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金融发展与稳定机制部分</w:t>
      </w:r>
      <w:r>
        <w:rPr>
          <w:rFonts w:hint="eastAsia" w:ascii="仿宋" w:hAnsi="仿宋" w:eastAsia="仿宋" w:cs="Times New Roman"/>
          <w:b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</w:rPr>
        <w:t>（一） 货币经济与实际经济。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</w:rPr>
        <w:t>（二）金融发展与经济增长。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</w:rPr>
        <w:t>（三）金融脆弱性与金融危机。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</w:rPr>
        <w:t>（四）金融监管。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5F84"/>
    <w:multiLevelType w:val="multilevel"/>
    <w:tmpl w:val="66325F84"/>
    <w:lvl w:ilvl="0" w:tentative="0">
      <w:start w:val="1"/>
      <w:numFmt w:val="japaneseCounting"/>
      <w:pStyle w:val="5"/>
      <w:lvlText w:val="（%1）"/>
      <w:lvlJc w:val="left"/>
      <w:pPr>
        <w:tabs>
          <w:tab w:val="left" w:pos="1260"/>
        </w:tabs>
        <w:ind w:left="1260" w:hanging="75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50"/>
        </w:tabs>
        <w:ind w:left="13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70"/>
        </w:tabs>
        <w:ind w:left="177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90"/>
        </w:tabs>
        <w:ind w:left="21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10"/>
        </w:tabs>
        <w:ind w:left="26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30"/>
        </w:tabs>
        <w:ind w:left="30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50"/>
        </w:tabs>
        <w:ind w:left="34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70"/>
        </w:tabs>
        <w:ind w:left="38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8C"/>
    <w:rsid w:val="0000277B"/>
    <w:rsid w:val="00004F1F"/>
    <w:rsid w:val="00007671"/>
    <w:rsid w:val="00027D33"/>
    <w:rsid w:val="00043374"/>
    <w:rsid w:val="00045995"/>
    <w:rsid w:val="00057F00"/>
    <w:rsid w:val="00061B43"/>
    <w:rsid w:val="000B531B"/>
    <w:rsid w:val="000C2C7D"/>
    <w:rsid w:val="000D730C"/>
    <w:rsid w:val="000E3D09"/>
    <w:rsid w:val="00103DCD"/>
    <w:rsid w:val="00111F10"/>
    <w:rsid w:val="00117052"/>
    <w:rsid w:val="001A6321"/>
    <w:rsid w:val="001B78A6"/>
    <w:rsid w:val="001B7D28"/>
    <w:rsid w:val="001C06BB"/>
    <w:rsid w:val="001D6880"/>
    <w:rsid w:val="001D7823"/>
    <w:rsid w:val="001E2954"/>
    <w:rsid w:val="001F0C81"/>
    <w:rsid w:val="0020408A"/>
    <w:rsid w:val="002228F3"/>
    <w:rsid w:val="00230B02"/>
    <w:rsid w:val="002A5E29"/>
    <w:rsid w:val="002D3A6A"/>
    <w:rsid w:val="00304079"/>
    <w:rsid w:val="00311FEA"/>
    <w:rsid w:val="00312A95"/>
    <w:rsid w:val="00336469"/>
    <w:rsid w:val="0036574B"/>
    <w:rsid w:val="0036682C"/>
    <w:rsid w:val="003742C1"/>
    <w:rsid w:val="00375E0D"/>
    <w:rsid w:val="00376752"/>
    <w:rsid w:val="003A05D8"/>
    <w:rsid w:val="003A1A62"/>
    <w:rsid w:val="003C5973"/>
    <w:rsid w:val="003F1D36"/>
    <w:rsid w:val="0041538C"/>
    <w:rsid w:val="004202F8"/>
    <w:rsid w:val="00423489"/>
    <w:rsid w:val="00492AEE"/>
    <w:rsid w:val="004A33DB"/>
    <w:rsid w:val="00500CBB"/>
    <w:rsid w:val="0055635D"/>
    <w:rsid w:val="00557655"/>
    <w:rsid w:val="005B1224"/>
    <w:rsid w:val="005C15CD"/>
    <w:rsid w:val="00627315"/>
    <w:rsid w:val="00633DE2"/>
    <w:rsid w:val="00657C84"/>
    <w:rsid w:val="00660CEB"/>
    <w:rsid w:val="00667E44"/>
    <w:rsid w:val="00680A2E"/>
    <w:rsid w:val="006B53E9"/>
    <w:rsid w:val="006B57EE"/>
    <w:rsid w:val="007049F2"/>
    <w:rsid w:val="00761ECD"/>
    <w:rsid w:val="00786E08"/>
    <w:rsid w:val="007C512D"/>
    <w:rsid w:val="007E1DC1"/>
    <w:rsid w:val="008004A2"/>
    <w:rsid w:val="008116EA"/>
    <w:rsid w:val="0081411F"/>
    <w:rsid w:val="00816636"/>
    <w:rsid w:val="00847932"/>
    <w:rsid w:val="00850F18"/>
    <w:rsid w:val="008624A2"/>
    <w:rsid w:val="008670BE"/>
    <w:rsid w:val="008A0AEB"/>
    <w:rsid w:val="008A6B52"/>
    <w:rsid w:val="008C16B0"/>
    <w:rsid w:val="008C6BDA"/>
    <w:rsid w:val="008F09DE"/>
    <w:rsid w:val="00926D7E"/>
    <w:rsid w:val="00940E47"/>
    <w:rsid w:val="00971CD3"/>
    <w:rsid w:val="0097476A"/>
    <w:rsid w:val="009B2D64"/>
    <w:rsid w:val="00A42838"/>
    <w:rsid w:val="00AA1F7F"/>
    <w:rsid w:val="00B43B02"/>
    <w:rsid w:val="00B913CB"/>
    <w:rsid w:val="00BA6627"/>
    <w:rsid w:val="00BD32E4"/>
    <w:rsid w:val="00BE2C0C"/>
    <w:rsid w:val="00BE65EE"/>
    <w:rsid w:val="00C12D73"/>
    <w:rsid w:val="00C300D0"/>
    <w:rsid w:val="00C35939"/>
    <w:rsid w:val="00C54181"/>
    <w:rsid w:val="00C563C6"/>
    <w:rsid w:val="00C6386C"/>
    <w:rsid w:val="00C70A63"/>
    <w:rsid w:val="00C75572"/>
    <w:rsid w:val="00C8008C"/>
    <w:rsid w:val="00C95410"/>
    <w:rsid w:val="00CE1C3D"/>
    <w:rsid w:val="00D33CC4"/>
    <w:rsid w:val="00D8727E"/>
    <w:rsid w:val="00D94252"/>
    <w:rsid w:val="00D95F7A"/>
    <w:rsid w:val="00DA02C9"/>
    <w:rsid w:val="00DA67DB"/>
    <w:rsid w:val="00DC2314"/>
    <w:rsid w:val="00DF52A2"/>
    <w:rsid w:val="00E131B5"/>
    <w:rsid w:val="00EE2CCD"/>
    <w:rsid w:val="00EF437D"/>
    <w:rsid w:val="00EF7EF3"/>
    <w:rsid w:val="00F0174B"/>
    <w:rsid w:val="00F0285A"/>
    <w:rsid w:val="00F12667"/>
    <w:rsid w:val="00F220AE"/>
    <w:rsid w:val="00F226CB"/>
    <w:rsid w:val="00F27505"/>
    <w:rsid w:val="00F75595"/>
    <w:rsid w:val="00F766D9"/>
    <w:rsid w:val="00FB1CC9"/>
    <w:rsid w:val="00FD41A2"/>
    <w:rsid w:val="00FE082D"/>
    <w:rsid w:val="00FE5D5D"/>
    <w:rsid w:val="00FF333B"/>
    <w:rsid w:val="38EA04C3"/>
    <w:rsid w:val="450C2853"/>
    <w:rsid w:val="490234FE"/>
    <w:rsid w:val="4A160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0" w:line="240" w:lineRule="auto"/>
      <w:ind w:left="60" w:firstLine="780"/>
      <w:jc w:val="both"/>
    </w:pPr>
    <w:rPr>
      <w:rFonts w:ascii="Times New Roman" w:hAnsi="Times New Roman"/>
      <w:kern w:val="2"/>
      <w:sz w:val="2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widowControl w:val="0"/>
      <w:numPr>
        <w:ilvl w:val="0"/>
        <w:numId w:val="1"/>
      </w:numPr>
      <w:spacing w:after="0" w:line="240" w:lineRule="auto"/>
      <w:jc w:val="both"/>
    </w:pPr>
    <w:rPr>
      <w:rFonts w:ascii="宋体" w:hAnsi="宋体"/>
      <w:kern w:val="2"/>
      <w:sz w:val="21"/>
      <w:szCs w:val="24"/>
    </w:rPr>
  </w:style>
  <w:style w:type="paragraph" w:styleId="6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310</Words>
  <Characters>1770</Characters>
  <Lines>14</Lines>
  <Paragraphs>4</Paragraphs>
  <TotalTime>0</TotalTime>
  <ScaleCrop>false</ScaleCrop>
  <LinksUpToDate>false</LinksUpToDate>
  <CharactersWithSpaces>2076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2018-07-03T01:26:00Z</dcterms:created>
  <dc:creator>微软用户</dc:creator>
  <cp:lastModifiedBy>vertesyuan</cp:lastModifiedBy>
  <dcterms:modified xsi:type="dcterms:W3CDTF">2021-11-26T10:55:59Z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E4CA5E78C4C543C191761D470962AB47</vt:lpwstr>
  </property>
</Properties>
</file>