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黑体"/>
          <w:sz w:val="40"/>
          <w:szCs w:val="40"/>
        </w:rPr>
      </w:pPr>
      <w:r>
        <w:rPr>
          <w:rFonts w:hint="eastAsia"/>
          <w:sz w:val="40"/>
          <w:szCs w:val="40"/>
          <w:lang w:bidi="hi-IN"/>
        </w:rPr>
        <w:t>20</w:t>
      </w:r>
      <w:r>
        <w:rPr>
          <w:rFonts w:hint="eastAsia"/>
          <w:sz w:val="40"/>
          <w:szCs w:val="40"/>
          <w:lang w:val="en-US" w:eastAsia="zh-CN" w:bidi="hi-IN"/>
        </w:rPr>
        <w:t>22</w:t>
      </w:r>
      <w:r>
        <w:rPr>
          <w:rFonts w:eastAsia="黑体"/>
          <w:sz w:val="40"/>
          <w:szCs w:val="40"/>
        </w:rPr>
        <w:t>年硕士研究生入学考试自命题考试大纲</w:t>
      </w:r>
    </w:p>
    <w:p>
      <w:pPr>
        <w:spacing w:line="500" w:lineRule="exact"/>
        <w:jc w:val="center"/>
        <w:rPr>
          <w:rFonts w:eastAsia="方正书宋简体"/>
          <w:sz w:val="24"/>
        </w:rPr>
      </w:pPr>
      <w:r>
        <w:rPr>
          <w:rFonts w:eastAsia="方正书宋简体"/>
          <w:sz w:val="24"/>
        </w:rPr>
        <w:t>考试科目代码：[</w:t>
      </w:r>
      <w:r>
        <w:rPr>
          <w:rFonts w:hint="eastAsia" w:eastAsia="方正书宋简体"/>
          <w:sz w:val="24"/>
        </w:rPr>
        <w:t xml:space="preserve">     </w:t>
      </w:r>
      <w:r>
        <w:rPr>
          <w:rFonts w:eastAsia="方正书宋简体"/>
          <w:sz w:val="24"/>
        </w:rPr>
        <w:t>]               考试科目名称：</w:t>
      </w:r>
      <w:r>
        <w:rPr>
          <w:rFonts w:hint="eastAsia" w:hAnsi="宋体"/>
          <w:sz w:val="24"/>
          <w:lang w:bidi="hi-IN"/>
        </w:rPr>
        <w:t>贸易经济学</w:t>
      </w:r>
    </w:p>
    <w:p>
      <w:pPr>
        <w:spacing w:beforeLines="50" w:afterLines="50" w:line="500" w:lineRule="exact"/>
        <w:ind w:firstLine="630" w:firstLineChars="196"/>
        <w:rPr>
          <w:rFonts w:ascii="黑体" w:hAnsi="黑体" w:eastAsia="黑体"/>
          <w:b/>
          <w:sz w:val="32"/>
          <w:szCs w:val="32"/>
        </w:rPr>
      </w:pPr>
      <w:r>
        <w:rPr>
          <w:rFonts w:hint="eastAsia" w:ascii="黑体" w:hAnsi="黑体" w:eastAsia="黑体"/>
          <w:b/>
          <w:sz w:val="32"/>
          <w:szCs w:val="32"/>
        </w:rPr>
        <w:t>一、试卷结构</w:t>
      </w:r>
    </w:p>
    <w:p>
      <w:pPr>
        <w:spacing w:beforeLines="50" w:afterLines="5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1、试卷成绩及考试时间</w:t>
      </w:r>
    </w:p>
    <w:p>
      <w:pPr>
        <w:spacing w:beforeLines="50" w:afterLines="5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hi-IN"/>
        </w:rPr>
        <w:t>本试卷满分为150分，考试时间为120分钟。</w:t>
      </w:r>
    </w:p>
    <w:p>
      <w:pPr>
        <w:spacing w:beforeLines="50" w:afterLines="5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2、答题方式：</w:t>
      </w:r>
      <w:r>
        <w:rPr>
          <w:rFonts w:hint="eastAsia" w:ascii="仿宋" w:hAnsi="仿宋" w:eastAsia="仿宋" w:cs="仿宋"/>
          <w:sz w:val="28"/>
          <w:szCs w:val="28"/>
          <w:lang w:bidi="hi-IN"/>
        </w:rPr>
        <w:t>闭卷、笔试</w:t>
      </w:r>
      <w:bookmarkStart w:id="0" w:name="_GoBack"/>
      <w:bookmarkEnd w:id="0"/>
    </w:p>
    <w:p>
      <w:pPr>
        <w:spacing w:beforeLines="50" w:afterLines="5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3、题型结构</w:t>
      </w:r>
    </w:p>
    <w:p>
      <w:pPr>
        <w:spacing w:beforeLines="50" w:afterLines="50" w:line="500" w:lineRule="exact"/>
        <w:ind w:firstLine="560" w:firstLineChars="200"/>
        <w:rPr>
          <w:rFonts w:hint="eastAsia" w:ascii="仿宋" w:hAnsi="仿宋" w:eastAsia="仿宋" w:cs="仿宋"/>
          <w:sz w:val="28"/>
          <w:szCs w:val="28"/>
          <w:lang w:bidi="hi-IN"/>
        </w:rPr>
      </w:pPr>
      <w:r>
        <w:rPr>
          <w:rFonts w:hint="eastAsia" w:ascii="仿宋" w:hAnsi="仿宋" w:eastAsia="仿宋" w:cs="仿宋"/>
          <w:sz w:val="28"/>
          <w:szCs w:val="28"/>
          <w:lang w:bidi="hi-IN"/>
        </w:rPr>
        <w:t>论  述  题：4小题，每小题28分，共112分</w:t>
      </w:r>
    </w:p>
    <w:p>
      <w:pPr>
        <w:spacing w:beforeLines="50" w:afterLines="50" w:line="500" w:lineRule="exact"/>
        <w:ind w:firstLine="560" w:firstLineChars="200"/>
        <w:rPr>
          <w:rFonts w:hint="eastAsia" w:ascii="仿宋" w:hAnsi="仿宋" w:eastAsia="仿宋" w:cs="仿宋"/>
          <w:sz w:val="28"/>
          <w:szCs w:val="28"/>
          <w:lang w:bidi="hi-IN"/>
        </w:rPr>
      </w:pPr>
      <w:r>
        <w:rPr>
          <w:rFonts w:hint="eastAsia" w:ascii="仿宋" w:hAnsi="仿宋" w:eastAsia="仿宋" w:cs="仿宋"/>
          <w:sz w:val="28"/>
          <w:szCs w:val="28"/>
          <w:lang w:bidi="hi-IN"/>
        </w:rPr>
        <w:t>分  析  题：1小题，每小题38分，共38分</w:t>
      </w:r>
    </w:p>
    <w:p>
      <w:pPr>
        <w:spacing w:beforeLines="50" w:afterLines="50" w:line="500" w:lineRule="exact"/>
        <w:ind w:firstLine="630" w:firstLineChars="196"/>
        <w:rPr>
          <w:rFonts w:ascii="仿宋_GB2312" w:hAnsi="黑体" w:eastAsia="仿宋_GB2312"/>
          <w:b/>
          <w:sz w:val="32"/>
          <w:szCs w:val="32"/>
        </w:rPr>
      </w:pPr>
      <w:r>
        <w:rPr>
          <w:rFonts w:hint="eastAsia" w:ascii="黑体" w:hAnsi="黑体" w:eastAsia="黑体"/>
          <w:b/>
          <w:sz w:val="32"/>
          <w:szCs w:val="32"/>
        </w:rPr>
        <w:t>二、考试内容与考试要求</w:t>
      </w:r>
    </w:p>
    <w:p>
      <w:pPr>
        <w:spacing w:line="500" w:lineRule="exact"/>
        <w:ind w:firstLine="480"/>
        <w:rPr>
          <w:rFonts w:ascii="仿宋_GB2312" w:eastAsia="仿宋_GB2312"/>
          <w:b/>
          <w:sz w:val="32"/>
          <w:szCs w:val="32"/>
          <w:lang w:bidi="hi-IN"/>
        </w:rPr>
      </w:pPr>
      <w:r>
        <w:rPr>
          <w:rFonts w:hint="eastAsia" w:ascii="仿宋_GB2312" w:hAnsi="宋体" w:eastAsia="仿宋_GB2312"/>
          <w:b/>
          <w:sz w:val="32"/>
          <w:szCs w:val="32"/>
          <w:lang w:bidi="hi-IN"/>
        </w:rPr>
        <w:t>●考试目标：</w:t>
      </w:r>
    </w:p>
    <w:p>
      <w:pPr>
        <w:spacing w:beforeLines="50" w:afterLines="50" w:line="500" w:lineRule="exact"/>
        <w:ind w:firstLine="560" w:firstLineChars="200"/>
        <w:rPr>
          <w:rFonts w:hint="eastAsia" w:ascii="仿宋" w:hAnsi="仿宋" w:eastAsia="仿宋" w:cs="仿宋"/>
          <w:sz w:val="28"/>
          <w:szCs w:val="28"/>
          <w:lang w:bidi="hi-IN"/>
        </w:rPr>
      </w:pPr>
      <w:r>
        <w:rPr>
          <w:rFonts w:hint="eastAsia" w:ascii="仿宋" w:hAnsi="仿宋" w:eastAsia="仿宋" w:cs="仿宋"/>
          <w:sz w:val="28"/>
          <w:szCs w:val="28"/>
          <w:lang w:bidi="hi-IN"/>
        </w:rPr>
        <w:t>1、系统掌握贸易经济学的基本知识、基本概念和基本理论。</w:t>
      </w:r>
    </w:p>
    <w:p>
      <w:pPr>
        <w:spacing w:beforeLines="50" w:afterLines="50" w:line="500" w:lineRule="exact"/>
        <w:ind w:firstLine="560" w:firstLineChars="200"/>
        <w:rPr>
          <w:rFonts w:hint="eastAsia" w:ascii="仿宋" w:hAnsi="仿宋" w:eastAsia="仿宋" w:cs="仿宋"/>
          <w:sz w:val="28"/>
          <w:szCs w:val="28"/>
          <w:lang w:bidi="hi-IN"/>
        </w:rPr>
      </w:pPr>
      <w:r>
        <w:rPr>
          <w:rFonts w:hint="eastAsia" w:ascii="仿宋" w:hAnsi="仿宋" w:eastAsia="仿宋" w:cs="仿宋"/>
          <w:sz w:val="28"/>
          <w:szCs w:val="28"/>
          <w:lang w:bidi="hi-IN"/>
        </w:rPr>
        <w:t>2、理解贸易经济运动的规律，理解贸易经济的理论体系及其发展演变。</w:t>
      </w:r>
    </w:p>
    <w:p>
      <w:pPr>
        <w:spacing w:beforeLines="50" w:afterLines="50" w:line="500" w:lineRule="exact"/>
        <w:ind w:firstLine="560" w:firstLineChars="200"/>
        <w:rPr>
          <w:rFonts w:hint="eastAsia" w:ascii="仿宋" w:hAnsi="仿宋" w:eastAsia="仿宋" w:cs="仿宋"/>
          <w:sz w:val="28"/>
          <w:szCs w:val="28"/>
          <w:lang w:bidi="hi-IN"/>
        </w:rPr>
      </w:pPr>
      <w:r>
        <w:rPr>
          <w:rFonts w:hint="eastAsia" w:ascii="仿宋" w:hAnsi="仿宋" w:eastAsia="仿宋" w:cs="仿宋"/>
          <w:sz w:val="28"/>
          <w:szCs w:val="28"/>
          <w:lang w:bidi="hi-IN"/>
        </w:rPr>
        <w:t>3、能够运用贸易经济学的基本理论和研究方法分析和解决现实贸易问题。</w:t>
      </w:r>
    </w:p>
    <w:p>
      <w:pPr>
        <w:spacing w:line="500" w:lineRule="exact"/>
        <w:ind w:firstLine="480"/>
        <w:rPr>
          <w:rFonts w:ascii="仿宋_GB2312" w:hAnsi="宋体" w:eastAsia="仿宋_GB2312"/>
          <w:b/>
          <w:sz w:val="32"/>
          <w:szCs w:val="32"/>
          <w:lang w:bidi="hi-IN"/>
        </w:rPr>
      </w:pPr>
      <w:r>
        <w:rPr>
          <w:rFonts w:hint="eastAsia" w:ascii="仿宋_GB2312" w:hAnsi="宋体" w:eastAsia="仿宋_GB2312"/>
          <w:b/>
          <w:sz w:val="32"/>
          <w:szCs w:val="32"/>
          <w:lang w:bidi="hi-IN"/>
        </w:rPr>
        <w:t>●考试内容</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（一）导论</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1.贸易理论演进。（1）马克思主义贸易理论。（2）西方贸易理论演进。（3）当代贸易理论简介。</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2.贸易经济学研究概述。</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3.贸易经济研究方法</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（二）贸易的产生与发展</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1、贸易活动的产生及条件。</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2、贸易活动的发展。（1）西方古代贸易的发展。（2）西方现代贸易的发展及特点。（3）中国古代贸易的特点。</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3、贸易在社会经济中的地位与作用。（1）生产与交换的关系。（2）分配与交换的关系。（3）消费与交换的关系。</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（三）贸易与市场</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1、市场是贸易的载体。（1）市场的多种含义.（2）市场的类型。（3）市场的基本功能。</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2、市场供求与贸易。（1）市场供给的分析。（2）市场需求的分析。（3）贸易以及市场供求规律。</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3、市场竞争与贸易。（1）贸易与市场竞争关系。（2）贸易竞争的类型。（3）贸易竞争效应分析。</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（四）贸易运行</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1、贸易运行要素。（1）贸易主要运行要素。（2）贸易从业人员数量增多及原因。（3）贸易资本分类及筹集。（4）贸易物质手段及发展趋势。（5）贸易信息分类及特点。</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2、贸易运行环境。（1）贸易运行的经济环境。（2）贸易运行的非经济环境。（3）人口流动对贸易的影响</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3、贸易运行机制。（1）贸易运行动力分析。（2）贸易决策机制、约束机制。（3）贸易运行机制的实施条件。</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4、贸易运行规律。（1）贸易网点分布规律。（2）贸易利润分布规律。（3）贸易竞争规律。</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（五）贸易中的流通渠道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1、流通渠道及其形式。（1）流通渠道的含义和意义。（2）流通渠道的多种形式。（3）产销合一渠道、产销分离渠道与产销结合渠道。（4）自组织渠道与组织化渠道。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2、流通渠道的经济属性与渠道发展。（1）流通渠道的经济属性。（2）流通渠道的长度、宽度及广度分析。（3）流通渠道的发展。</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3、流通渠道的形成机制与渠道配置。（1）流通渠道的形成机制。（2）流通渠道的影响因素。（3）基于流通渠道的流通网络。（4）流通渠道的配置方式。</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（六）空间贸易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1、城乡贸易。（1）城乡差别与农村市场的特点。（2） 城乡贸易的物质内容及其演变。（3）城乡贸易的实现方式。（4）我国城乡贸易现状及其改善。</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2、区际贸易。（1）行政区域与经济区域。（2）区际贸易的二重涵义。（3）区际贸易发展的动因。（4）区际贸易发展的层次性。（5）国内统一市场建设。</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3、国际贸易。（1）国际贸易与国内贸易的差异。（2）国际贸易格局发展演变。（3）经济全球化加速发展与国际贸易的新趋势。（4）后金融危机阶段的中国贸易。（5）发展我国国际贸易的对策。</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（七）分类贸易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1、贸易行业与贸易分类。</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2、商品贸易。（1）商品的类型。（2）商品贸易的基本类型。</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3、生产要素贸易。（1）资本贸易。（2）劳动力贸易。（3）技术、信息贸易。（4）房地产贸易。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4、服务贸易。（1）服务贸易的涵义、种类及特点。（2）影响服务贸易发展的因素。（3）当代国际服务贸易发展的特点。（4）中国服务贸易的发展。</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（八）批发贸易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1、批发贸易的涵义、类型与特点。</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2、批发贸易的功能和制约因素。（1）批发贸易的职能。（2）批发贸易的作用。（3）影响批发贸易的因素。</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3、批发交易组织。（1）批发交易组织的涵义、功能与类型。（2）批发市场与批发贸易中心。（3）商品交易所。</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（九）零售贸易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1、零售贸易与零售业。（1）零售贸易的涵义与特点。（2）零售贸易的功能。（3）零售商与零售业。（4）零售贸易中的经济关系。</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2、零售贸易的业态。（1）零售业态的涵义。（2）零售业态的构成要素。（3）零售业态的外在表现形式。（4）零售业态的类型及分类规范。（5）零售业态演化的理论学说。</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3、零售贸易的发展。（1）零售的四次革命。（2）零售贸易的发展趋势。</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（十）期货贸易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1、期货贸易涵义与功能。（1）期货贸易与现货贸易关系。（2）期货贸易与远期贸易关系。（3）期货贸易的特点。（4）期货贸易的产生与发展。（5）期货贸易的功能。</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2、期货贸易组织。（1）期货交易所。（2）期货经纪机构。（3）期货贸易者。</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3、期货贸易流程。</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（十一）网络贸易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 xml:space="preserve"> 1、网络贸易的含义和模式。（1）网络贸易的含义和内涵。（2）网络贸易的特点。（3）网络贸易的模式。</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2、网络贸易的功能。（1）网络贸易的基本功能。（2）网络贸易的经济功能。（3）网络贸易的管理功能。</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3、网络贸易的交易流程。（1）网络贸易的一般交易流程。（2）主要电子商务模式的交易流程。</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4、网络贸易的发展。（1）网络贸易的发展历程。（2）网络贸易的发展现状。（3）网络贸易的发展趋势。</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（十二）物流服务贸易</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1、贸易中的商流和物流。（1）贸易中商流与物流的结合。（2）现代贸易中物流的特征。</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2、现代贸易物流服务模式。（1）电子商务物流服务模式。（2）共同配送物流服务模式。（3）区域批发市场物流服务模式。（4）第四方物流服务模式。（5）绿色物流服务模式。（6）期货贸易的物流服务模式。</w:t>
      </w:r>
    </w:p>
    <w:p>
      <w:pPr>
        <w:spacing w:line="500" w:lineRule="exact"/>
        <w:ind w:firstLine="480"/>
        <w:rPr>
          <w:rFonts w:hint="eastAsia" w:ascii="仿宋" w:hAnsi="仿宋" w:eastAsia="仿宋" w:cs="仿宋"/>
          <w:sz w:val="28"/>
          <w:szCs w:val="28"/>
          <w:lang w:bidi="hi-IN"/>
        </w:rPr>
      </w:pPr>
      <w:r>
        <w:rPr>
          <w:rFonts w:hint="eastAsia" w:ascii="仿宋" w:hAnsi="仿宋" w:eastAsia="仿宋" w:cs="仿宋"/>
          <w:sz w:val="28"/>
          <w:szCs w:val="28"/>
          <w:lang w:bidi="hi-IN"/>
        </w:rPr>
        <w:t>3、物流服务贸易的发展。（1）物流服务贸易的发展及作用。（2）物流服务的主要交易方式。（3）物流服务贸易方式的发展。</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（十三）贸易现代化</w:t>
      </w:r>
    </w:p>
    <w:p>
      <w:pPr>
        <w:spacing w:line="500" w:lineRule="exact"/>
        <w:ind w:firstLine="645"/>
        <w:rPr>
          <w:rFonts w:hint="eastAsia" w:ascii="仿宋" w:hAnsi="仿宋" w:eastAsia="仿宋" w:cs="仿宋"/>
          <w:sz w:val="28"/>
          <w:szCs w:val="28"/>
          <w:lang w:bidi="hi-IN"/>
        </w:rPr>
      </w:pPr>
      <w:r>
        <w:rPr>
          <w:rFonts w:hint="eastAsia" w:ascii="仿宋" w:hAnsi="仿宋" w:eastAsia="仿宋" w:cs="仿宋"/>
          <w:sz w:val="28"/>
          <w:szCs w:val="28"/>
          <w:lang w:bidi="hi-IN"/>
        </w:rPr>
        <w:t>1、贸易现代化的内涵及意义。</w:t>
      </w:r>
    </w:p>
    <w:p>
      <w:pPr>
        <w:spacing w:line="500" w:lineRule="exact"/>
        <w:ind w:firstLine="645"/>
        <w:rPr>
          <w:rFonts w:hint="eastAsia" w:ascii="仿宋" w:hAnsi="仿宋" w:eastAsia="仿宋" w:cs="仿宋"/>
          <w:sz w:val="28"/>
          <w:szCs w:val="28"/>
          <w:lang w:bidi="hi-IN"/>
        </w:rPr>
      </w:pPr>
      <w:r>
        <w:rPr>
          <w:rFonts w:hint="eastAsia" w:ascii="仿宋" w:hAnsi="仿宋" w:eastAsia="仿宋" w:cs="仿宋"/>
          <w:sz w:val="28"/>
          <w:szCs w:val="28"/>
          <w:lang w:bidi="hi-IN"/>
        </w:rPr>
        <w:t>2、贸易现代化的内容及实现途径。</w:t>
      </w:r>
    </w:p>
    <w:p>
      <w:pPr>
        <w:spacing w:line="500" w:lineRule="exact"/>
        <w:ind w:firstLine="645"/>
        <w:rPr>
          <w:rFonts w:hint="eastAsia" w:ascii="仿宋" w:hAnsi="仿宋" w:eastAsia="仿宋" w:cs="仿宋"/>
          <w:sz w:val="28"/>
          <w:szCs w:val="28"/>
          <w:lang w:bidi="hi-IN"/>
        </w:rPr>
      </w:pPr>
      <w:r>
        <w:rPr>
          <w:rFonts w:hint="eastAsia" w:ascii="仿宋" w:hAnsi="仿宋" w:eastAsia="仿宋" w:cs="仿宋"/>
          <w:sz w:val="28"/>
          <w:szCs w:val="28"/>
          <w:lang w:bidi="hi-IN"/>
        </w:rPr>
        <w:t>3、贸易现代化的主要趋势。</w:t>
      </w:r>
    </w:p>
    <w:p>
      <w:pPr>
        <w:spacing w:line="500" w:lineRule="exact"/>
        <w:rPr>
          <w:rFonts w:hint="eastAsia" w:ascii="仿宋" w:hAnsi="仿宋" w:eastAsia="仿宋" w:cs="仿宋"/>
          <w:sz w:val="28"/>
          <w:szCs w:val="28"/>
          <w:lang w:bidi="hi-IN"/>
        </w:rPr>
      </w:pPr>
      <w:r>
        <w:rPr>
          <w:rFonts w:hint="eastAsia" w:ascii="仿宋" w:hAnsi="仿宋" w:eastAsia="仿宋" w:cs="仿宋"/>
          <w:sz w:val="28"/>
          <w:szCs w:val="28"/>
          <w:lang w:bidi="hi-IN"/>
        </w:rPr>
        <w:t>（十四）贸易宏观调控</w:t>
      </w:r>
    </w:p>
    <w:p>
      <w:pPr>
        <w:spacing w:line="500" w:lineRule="exact"/>
        <w:ind w:firstLine="645"/>
        <w:rPr>
          <w:rFonts w:hint="eastAsia" w:ascii="仿宋" w:hAnsi="仿宋" w:eastAsia="仿宋" w:cs="仿宋"/>
          <w:sz w:val="28"/>
          <w:szCs w:val="28"/>
          <w:lang w:bidi="hi-IN"/>
        </w:rPr>
      </w:pPr>
      <w:r>
        <w:rPr>
          <w:rFonts w:hint="eastAsia" w:ascii="仿宋" w:hAnsi="仿宋" w:eastAsia="仿宋" w:cs="仿宋"/>
          <w:sz w:val="28"/>
          <w:szCs w:val="28"/>
          <w:lang w:bidi="hi-IN"/>
        </w:rPr>
        <w:t>1、贸易宏观调控的必要性及层次。</w:t>
      </w:r>
    </w:p>
    <w:p>
      <w:pPr>
        <w:spacing w:line="500" w:lineRule="exact"/>
        <w:ind w:firstLine="645"/>
        <w:rPr>
          <w:rFonts w:hint="eastAsia" w:ascii="仿宋" w:hAnsi="仿宋" w:eastAsia="仿宋" w:cs="仿宋"/>
          <w:sz w:val="28"/>
          <w:szCs w:val="28"/>
          <w:lang w:bidi="hi-IN"/>
        </w:rPr>
      </w:pPr>
      <w:r>
        <w:rPr>
          <w:rFonts w:hint="eastAsia" w:ascii="仿宋" w:hAnsi="仿宋" w:eastAsia="仿宋" w:cs="仿宋"/>
          <w:sz w:val="28"/>
          <w:szCs w:val="28"/>
          <w:lang w:bidi="hi-IN"/>
        </w:rPr>
        <w:t>2、贸易宏观调控的主要目标。</w:t>
      </w:r>
    </w:p>
    <w:p>
      <w:pPr>
        <w:spacing w:line="500" w:lineRule="exact"/>
        <w:ind w:firstLine="645"/>
        <w:rPr>
          <w:rFonts w:hint="eastAsia" w:ascii="仿宋" w:hAnsi="仿宋" w:eastAsia="仿宋" w:cs="仿宋"/>
          <w:sz w:val="28"/>
          <w:szCs w:val="28"/>
          <w:lang w:bidi="hi-IN"/>
        </w:rPr>
      </w:pPr>
      <w:r>
        <w:rPr>
          <w:rFonts w:hint="eastAsia" w:ascii="仿宋" w:hAnsi="仿宋" w:eastAsia="仿宋" w:cs="仿宋"/>
          <w:sz w:val="28"/>
          <w:szCs w:val="28"/>
          <w:lang w:bidi="hi-IN"/>
        </w:rPr>
        <w:t>3、贸易调控体系。（1）贸易调控的主要手段。（2）贸易规制。</w:t>
      </w:r>
    </w:p>
    <w:p>
      <w:pPr>
        <w:spacing w:line="500" w:lineRule="exact"/>
        <w:ind w:firstLine="645"/>
        <w:rPr>
          <w:rFonts w:hint="eastAsia" w:ascii="仿宋" w:hAnsi="仿宋" w:eastAsia="仿宋" w:cs="仿宋"/>
          <w:sz w:val="28"/>
          <w:szCs w:val="28"/>
          <w:lang w:bidi="hi-IN"/>
        </w:rPr>
      </w:pPr>
    </w:p>
    <w:sectPr>
      <w:footerReference r:id="rId5" w:type="default"/>
      <w:pgSz w:w="12240" w:h="15840"/>
      <w:pgMar w:top="1440" w:right="1440" w:bottom="1440" w:left="1440" w:header="720" w:footer="720" w:gutter="0"/>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书宋简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PAGE   \* MERGEFORMAT</w:instrText>
    </w:r>
    <w:r>
      <w:fldChar w:fldCharType="separate"/>
    </w:r>
    <w:r>
      <w:rPr>
        <w:lang w:val="zh-CN"/>
      </w:rPr>
      <w:t>7</w:t>
    </w:r>
    <w:r>
      <w:rPr>
        <w:lang w:val="zh-CN"/>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5A3949"/>
    <w:rsid w:val="000135B8"/>
    <w:rsid w:val="00021238"/>
    <w:rsid w:val="00027EE0"/>
    <w:rsid w:val="0003131A"/>
    <w:rsid w:val="000369B0"/>
    <w:rsid w:val="000404AC"/>
    <w:rsid w:val="000574D6"/>
    <w:rsid w:val="000665D5"/>
    <w:rsid w:val="00066DD6"/>
    <w:rsid w:val="0007669B"/>
    <w:rsid w:val="0007794D"/>
    <w:rsid w:val="00080DEB"/>
    <w:rsid w:val="000814E3"/>
    <w:rsid w:val="00087C21"/>
    <w:rsid w:val="00087F52"/>
    <w:rsid w:val="00091710"/>
    <w:rsid w:val="000A020D"/>
    <w:rsid w:val="000A1B7D"/>
    <w:rsid w:val="000A2F11"/>
    <w:rsid w:val="000D28D4"/>
    <w:rsid w:val="000E35BF"/>
    <w:rsid w:val="000E421D"/>
    <w:rsid w:val="000E6F3F"/>
    <w:rsid w:val="00111AB1"/>
    <w:rsid w:val="00116C74"/>
    <w:rsid w:val="001330D7"/>
    <w:rsid w:val="0013334D"/>
    <w:rsid w:val="001725C3"/>
    <w:rsid w:val="00181158"/>
    <w:rsid w:val="00190665"/>
    <w:rsid w:val="00194889"/>
    <w:rsid w:val="001A6161"/>
    <w:rsid w:val="001D0A89"/>
    <w:rsid w:val="001D3689"/>
    <w:rsid w:val="00212456"/>
    <w:rsid w:val="0021792D"/>
    <w:rsid w:val="00226C83"/>
    <w:rsid w:val="002412B0"/>
    <w:rsid w:val="002504ED"/>
    <w:rsid w:val="00251CBC"/>
    <w:rsid w:val="00255B84"/>
    <w:rsid w:val="00256855"/>
    <w:rsid w:val="00261938"/>
    <w:rsid w:val="00263EE8"/>
    <w:rsid w:val="00273341"/>
    <w:rsid w:val="002A1D2E"/>
    <w:rsid w:val="002A4BBD"/>
    <w:rsid w:val="002B1A41"/>
    <w:rsid w:val="002B5AE5"/>
    <w:rsid w:val="002C6E8E"/>
    <w:rsid w:val="002E4FFD"/>
    <w:rsid w:val="002F6261"/>
    <w:rsid w:val="00306DC0"/>
    <w:rsid w:val="00312547"/>
    <w:rsid w:val="00331D6D"/>
    <w:rsid w:val="003419B0"/>
    <w:rsid w:val="00356899"/>
    <w:rsid w:val="00381F12"/>
    <w:rsid w:val="00397EC5"/>
    <w:rsid w:val="003B4B08"/>
    <w:rsid w:val="003B67BC"/>
    <w:rsid w:val="003D19FF"/>
    <w:rsid w:val="003D7241"/>
    <w:rsid w:val="003E1869"/>
    <w:rsid w:val="003F5BDB"/>
    <w:rsid w:val="004072EC"/>
    <w:rsid w:val="004131E4"/>
    <w:rsid w:val="0044194A"/>
    <w:rsid w:val="0044507E"/>
    <w:rsid w:val="00447FC9"/>
    <w:rsid w:val="004619CB"/>
    <w:rsid w:val="004717D5"/>
    <w:rsid w:val="0047297F"/>
    <w:rsid w:val="00497647"/>
    <w:rsid w:val="004E5087"/>
    <w:rsid w:val="004E693C"/>
    <w:rsid w:val="004F2B32"/>
    <w:rsid w:val="004F36BB"/>
    <w:rsid w:val="004F4767"/>
    <w:rsid w:val="005069B6"/>
    <w:rsid w:val="005253BD"/>
    <w:rsid w:val="00544686"/>
    <w:rsid w:val="005A3949"/>
    <w:rsid w:val="005A4DBD"/>
    <w:rsid w:val="005B2C55"/>
    <w:rsid w:val="005E03E3"/>
    <w:rsid w:val="005E096C"/>
    <w:rsid w:val="005E1552"/>
    <w:rsid w:val="005E5CB7"/>
    <w:rsid w:val="005F39CE"/>
    <w:rsid w:val="005F3C29"/>
    <w:rsid w:val="006058C3"/>
    <w:rsid w:val="006477DA"/>
    <w:rsid w:val="00651F88"/>
    <w:rsid w:val="006541B0"/>
    <w:rsid w:val="00672539"/>
    <w:rsid w:val="00673670"/>
    <w:rsid w:val="00676AE8"/>
    <w:rsid w:val="00686D22"/>
    <w:rsid w:val="006A4B33"/>
    <w:rsid w:val="006C5124"/>
    <w:rsid w:val="006D3662"/>
    <w:rsid w:val="006D6807"/>
    <w:rsid w:val="006D7798"/>
    <w:rsid w:val="006D7990"/>
    <w:rsid w:val="006F1EED"/>
    <w:rsid w:val="007056C2"/>
    <w:rsid w:val="007149D2"/>
    <w:rsid w:val="00726B6E"/>
    <w:rsid w:val="007341F8"/>
    <w:rsid w:val="00750094"/>
    <w:rsid w:val="00755FC7"/>
    <w:rsid w:val="00756BAF"/>
    <w:rsid w:val="0078534B"/>
    <w:rsid w:val="007A10E6"/>
    <w:rsid w:val="007A4B18"/>
    <w:rsid w:val="007D52ED"/>
    <w:rsid w:val="007E11BB"/>
    <w:rsid w:val="007E45B8"/>
    <w:rsid w:val="007E5579"/>
    <w:rsid w:val="008067F6"/>
    <w:rsid w:val="00832019"/>
    <w:rsid w:val="0083746E"/>
    <w:rsid w:val="0085155E"/>
    <w:rsid w:val="00852EEF"/>
    <w:rsid w:val="00856D27"/>
    <w:rsid w:val="00873234"/>
    <w:rsid w:val="00875922"/>
    <w:rsid w:val="0088452C"/>
    <w:rsid w:val="008861EA"/>
    <w:rsid w:val="008972FA"/>
    <w:rsid w:val="008C347D"/>
    <w:rsid w:val="008D2A76"/>
    <w:rsid w:val="008E3978"/>
    <w:rsid w:val="008E4172"/>
    <w:rsid w:val="008F108C"/>
    <w:rsid w:val="008F55BE"/>
    <w:rsid w:val="008F5CA7"/>
    <w:rsid w:val="00912FCF"/>
    <w:rsid w:val="0091463D"/>
    <w:rsid w:val="009240E5"/>
    <w:rsid w:val="00924BB1"/>
    <w:rsid w:val="00933BA5"/>
    <w:rsid w:val="009364D1"/>
    <w:rsid w:val="00950916"/>
    <w:rsid w:val="0095490F"/>
    <w:rsid w:val="00963341"/>
    <w:rsid w:val="00964B39"/>
    <w:rsid w:val="00981531"/>
    <w:rsid w:val="00981B5F"/>
    <w:rsid w:val="009A7BF2"/>
    <w:rsid w:val="009C21CA"/>
    <w:rsid w:val="009D15F9"/>
    <w:rsid w:val="009F7B87"/>
    <w:rsid w:val="00A24DE0"/>
    <w:rsid w:val="00A33BE7"/>
    <w:rsid w:val="00A34AFB"/>
    <w:rsid w:val="00A81F8C"/>
    <w:rsid w:val="00A831B2"/>
    <w:rsid w:val="00A86696"/>
    <w:rsid w:val="00A927B5"/>
    <w:rsid w:val="00A93F1E"/>
    <w:rsid w:val="00A97979"/>
    <w:rsid w:val="00AB11D3"/>
    <w:rsid w:val="00AF7E69"/>
    <w:rsid w:val="00B00093"/>
    <w:rsid w:val="00B52ECD"/>
    <w:rsid w:val="00B62D5D"/>
    <w:rsid w:val="00B64F13"/>
    <w:rsid w:val="00B806D4"/>
    <w:rsid w:val="00B94222"/>
    <w:rsid w:val="00B95084"/>
    <w:rsid w:val="00BA641D"/>
    <w:rsid w:val="00BB293D"/>
    <w:rsid w:val="00BB5CE8"/>
    <w:rsid w:val="00BE1D99"/>
    <w:rsid w:val="00C3760E"/>
    <w:rsid w:val="00C42928"/>
    <w:rsid w:val="00C47D48"/>
    <w:rsid w:val="00C57A4E"/>
    <w:rsid w:val="00C60278"/>
    <w:rsid w:val="00C60B53"/>
    <w:rsid w:val="00C73154"/>
    <w:rsid w:val="00C84187"/>
    <w:rsid w:val="00C86964"/>
    <w:rsid w:val="00C920EA"/>
    <w:rsid w:val="00C93F6C"/>
    <w:rsid w:val="00CA00D4"/>
    <w:rsid w:val="00CA7590"/>
    <w:rsid w:val="00CB2CFE"/>
    <w:rsid w:val="00CB3CE4"/>
    <w:rsid w:val="00CB72BA"/>
    <w:rsid w:val="00CB74AE"/>
    <w:rsid w:val="00CC0CEF"/>
    <w:rsid w:val="00CC411A"/>
    <w:rsid w:val="00CD01D2"/>
    <w:rsid w:val="00CD503D"/>
    <w:rsid w:val="00CD63B4"/>
    <w:rsid w:val="00CE7EE4"/>
    <w:rsid w:val="00CF5308"/>
    <w:rsid w:val="00CF61EB"/>
    <w:rsid w:val="00CF6AEA"/>
    <w:rsid w:val="00D01786"/>
    <w:rsid w:val="00D4633B"/>
    <w:rsid w:val="00D46D3E"/>
    <w:rsid w:val="00D46DA8"/>
    <w:rsid w:val="00D5014E"/>
    <w:rsid w:val="00D506E1"/>
    <w:rsid w:val="00D568A1"/>
    <w:rsid w:val="00D62ED6"/>
    <w:rsid w:val="00D67CD6"/>
    <w:rsid w:val="00D94645"/>
    <w:rsid w:val="00DA0D1B"/>
    <w:rsid w:val="00DA6CD4"/>
    <w:rsid w:val="00DB2E24"/>
    <w:rsid w:val="00DC1DFD"/>
    <w:rsid w:val="00DC3951"/>
    <w:rsid w:val="00DC5F02"/>
    <w:rsid w:val="00DE1D6E"/>
    <w:rsid w:val="00DE445D"/>
    <w:rsid w:val="00DE7C20"/>
    <w:rsid w:val="00DF040D"/>
    <w:rsid w:val="00DF14D2"/>
    <w:rsid w:val="00E11186"/>
    <w:rsid w:val="00E23DEB"/>
    <w:rsid w:val="00E4469A"/>
    <w:rsid w:val="00E65E3D"/>
    <w:rsid w:val="00E708D7"/>
    <w:rsid w:val="00E973C5"/>
    <w:rsid w:val="00EB1965"/>
    <w:rsid w:val="00EC4525"/>
    <w:rsid w:val="00EE7907"/>
    <w:rsid w:val="00F2439C"/>
    <w:rsid w:val="00F2684D"/>
    <w:rsid w:val="00F308D9"/>
    <w:rsid w:val="00F36A83"/>
    <w:rsid w:val="00F7013B"/>
    <w:rsid w:val="00F7181C"/>
    <w:rsid w:val="00F7387A"/>
    <w:rsid w:val="00F8073B"/>
    <w:rsid w:val="00F82C7E"/>
    <w:rsid w:val="00F94676"/>
    <w:rsid w:val="00F94792"/>
    <w:rsid w:val="00F97D3C"/>
    <w:rsid w:val="00FA2AAD"/>
    <w:rsid w:val="00FB5002"/>
    <w:rsid w:val="00FC1F53"/>
    <w:rsid w:val="00FC1FFC"/>
    <w:rsid w:val="00FC356E"/>
    <w:rsid w:val="00FD3FE2"/>
    <w:rsid w:val="00FD4975"/>
    <w:rsid w:val="00FE4CD9"/>
    <w:rsid w:val="00FE7B04"/>
    <w:rsid w:val="00FF3806"/>
    <w:rsid w:val="00FF652E"/>
    <w:rsid w:val="09A23EE1"/>
    <w:rsid w:val="0E9C041D"/>
    <w:rsid w:val="1B063828"/>
    <w:rsid w:val="30E6423E"/>
    <w:rsid w:val="5588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rPr>
      <w:sz w:val="20"/>
      <w:szCs w:val="20"/>
    </w:rPr>
  </w:style>
  <w:style w:type="paragraph" w:styleId="3">
    <w:name w:val="Balloon Text"/>
    <w:basedOn w:val="1"/>
    <w:link w:val="15"/>
    <w:semiHidden/>
    <w:unhideWhenUsed/>
    <w:uiPriority w:val="99"/>
    <w:pPr>
      <w:spacing w:after="0" w:line="240" w:lineRule="auto"/>
    </w:pPr>
    <w:rPr>
      <w:rFonts w:ascii="微软雅黑" w:eastAsia="微软雅黑"/>
      <w:sz w:val="18"/>
      <w:szCs w:val="18"/>
    </w:r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header"/>
    <w:basedOn w:val="1"/>
    <w:link w:val="11"/>
    <w:unhideWhenUsed/>
    <w:uiPriority w:val="99"/>
    <w:pPr>
      <w:tabs>
        <w:tab w:val="center" w:pos="4680"/>
        <w:tab w:val="right" w:pos="9360"/>
      </w:tabs>
      <w:spacing w:after="0" w:line="240" w:lineRule="auto"/>
    </w:pPr>
  </w:style>
  <w:style w:type="paragraph" w:styleId="6">
    <w:name w:val="annotation subject"/>
    <w:basedOn w:val="2"/>
    <w:next w:val="2"/>
    <w:link w:val="14"/>
    <w:semiHidden/>
    <w:unhideWhenUsed/>
    <w:uiPriority w:val="99"/>
    <w:rPr>
      <w:b/>
      <w:bCs/>
    </w:rPr>
  </w:style>
  <w:style w:type="character" w:styleId="9">
    <w:name w:val="Hyperlink"/>
    <w:basedOn w:val="8"/>
    <w:qFormat/>
    <w:uiPriority w:val="0"/>
    <w:rPr>
      <w:color w:val="0000FF"/>
      <w:u w:val="single"/>
    </w:rPr>
  </w:style>
  <w:style w:type="character" w:styleId="10">
    <w:name w:val="annotation reference"/>
    <w:semiHidden/>
    <w:unhideWhenUsed/>
    <w:qFormat/>
    <w:uiPriority w:val="99"/>
    <w:rPr>
      <w:sz w:val="16"/>
      <w:szCs w:val="16"/>
    </w:rPr>
  </w:style>
  <w:style w:type="character" w:customStyle="1" w:styleId="11">
    <w:name w:val="页眉 Char"/>
    <w:basedOn w:val="8"/>
    <w:link w:val="5"/>
    <w:qFormat/>
    <w:uiPriority w:val="99"/>
  </w:style>
  <w:style w:type="character" w:customStyle="1" w:styleId="12">
    <w:name w:val="页脚 Char"/>
    <w:basedOn w:val="8"/>
    <w:link w:val="4"/>
    <w:qFormat/>
    <w:uiPriority w:val="99"/>
  </w:style>
  <w:style w:type="character" w:customStyle="1" w:styleId="13">
    <w:name w:val="批注文字 Char"/>
    <w:basedOn w:val="8"/>
    <w:link w:val="2"/>
    <w:semiHidden/>
    <w:qFormat/>
    <w:uiPriority w:val="99"/>
  </w:style>
  <w:style w:type="character" w:customStyle="1" w:styleId="14">
    <w:name w:val="批注主题 Char"/>
    <w:link w:val="6"/>
    <w:semiHidden/>
    <w:qFormat/>
    <w:uiPriority w:val="99"/>
    <w:rPr>
      <w:b/>
      <w:bCs/>
    </w:rPr>
  </w:style>
  <w:style w:type="character" w:customStyle="1" w:styleId="15">
    <w:name w:val="批注框文本 Char"/>
    <w:link w:val="3"/>
    <w:semiHidden/>
    <w:qFormat/>
    <w:uiPriority w:val="99"/>
    <w:rPr>
      <w:rFonts w:ascii="微软雅黑" w:eastAsia="微软雅黑"/>
      <w:sz w:val="18"/>
      <w:szCs w:val="18"/>
    </w:rPr>
  </w:style>
  <w:style w:type="character" w:customStyle="1" w:styleId="16">
    <w:name w:val="大纲正文 Char"/>
    <w:basedOn w:val="8"/>
    <w:link w:val="17"/>
    <w:qFormat/>
    <w:locked/>
    <w:uiPriority w:val="0"/>
    <w:rPr>
      <w:rFonts w:ascii="宋体" w:hAnsi="宋体" w:eastAsia="宋体"/>
      <w:color w:val="000000"/>
      <w:kern w:val="2"/>
      <w:sz w:val="24"/>
      <w:szCs w:val="24"/>
      <w:lang w:val="en-US" w:eastAsia="zh-CN" w:bidi="ar-SA"/>
    </w:rPr>
  </w:style>
  <w:style w:type="paragraph" w:customStyle="1" w:styleId="17">
    <w:name w:val="大纲正文"/>
    <w:basedOn w:val="1"/>
    <w:link w:val="16"/>
    <w:qFormat/>
    <w:uiPriority w:val="0"/>
    <w:pPr>
      <w:widowControl w:val="0"/>
      <w:spacing w:after="0" w:line="400" w:lineRule="exact"/>
      <w:ind w:firstLine="200" w:firstLineChars="200"/>
      <w:jc w:val="both"/>
    </w:pPr>
    <w:rPr>
      <w:rFonts w:ascii="宋体" w:hAnsi="宋体"/>
      <w:color w:val="000000"/>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375</Words>
  <Characters>2144</Characters>
  <Lines>17</Lines>
  <Paragraphs>5</Paragraphs>
  <TotalTime>3</TotalTime>
  <ScaleCrop>false</ScaleCrop>
  <LinksUpToDate>false</LinksUpToDate>
  <CharactersWithSpaces>2514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2016-05-17T10:46:00Z</dcterms:created>
  <dc:creator>Jianjiang</dc:creator>
  <cp:lastModifiedBy>lenovo</cp:lastModifiedBy>
  <dcterms:modified xsi:type="dcterms:W3CDTF">2021-09-10T00:53:33Z</dcterms:modified>
  <dc:title>西方经济学部分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2052-11.1.0.10700</vt:lpwstr>
  </property>
  <property fmtid="{D5CDD505-2E9C-101B-9397-08002B2CF9AE}" pid="4" name="ICV">
    <vt:lpwstr>5CF5E3C21A694E25B7E9D9B77948EE49</vt:lpwstr>
  </property>
</Properties>
</file>