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2" w:name="_GoBack"/>
      <w:bookmarkEnd w:id="2"/>
      <w:r>
        <w:rPr>
          <w:rFonts w:hint="eastAsia" w:ascii="方正小标宋简体" w:eastAsia="方正小标宋简体"/>
          <w:sz w:val="36"/>
          <w:szCs w:val="36"/>
        </w:rPr>
        <w:t>德语语言文学专业硕士研究生入学考试大纲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考试科目代码及名称：640</w:t>
      </w:r>
      <w:r>
        <w:rPr>
          <w:rFonts w:ascii="楷体" w:hAnsi="楷体" w:eastAsia="楷体"/>
          <w:b/>
          <w:sz w:val="28"/>
          <w:szCs w:val="28"/>
        </w:rPr>
        <w:t xml:space="preserve"> </w:t>
      </w:r>
      <w:r>
        <w:rPr>
          <w:rFonts w:hint="eastAsia" w:ascii="楷体" w:hAnsi="楷体" w:eastAsia="楷体"/>
          <w:b/>
          <w:sz w:val="28"/>
          <w:szCs w:val="28"/>
        </w:rPr>
        <w:t>基础德语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掌握德语本科阶段所学的词汇、词法、句法、篇章等德语语言基本知识和技能，具备良好的篇章阅读理解、翻译及表达能力，能够综合运用德语进行书面交际。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全面检查学生掌握和运用德语语言基本知识和技能的情况，有效考核学生的篇章阅读理解、翻译及书面表达能力。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Hlk13645171"/>
      <w:r>
        <w:rPr>
          <w:rFonts w:hint="eastAsia" w:ascii="仿宋_GB2312" w:eastAsia="仿宋_GB2312"/>
          <w:sz w:val="28"/>
          <w:szCs w:val="28"/>
        </w:rPr>
        <w:t>（1）</w:t>
      </w:r>
      <w:bookmarkEnd w:id="0"/>
      <w:r>
        <w:rPr>
          <w:rFonts w:hint="eastAsia" w:ascii="仿宋_GB2312" w:eastAsia="仿宋_GB2312"/>
          <w:sz w:val="28"/>
          <w:szCs w:val="28"/>
        </w:rPr>
        <w:t>阅读理解：</w:t>
      </w:r>
      <w:bookmarkStart w:id="1" w:name="_Hlk13647746"/>
      <w:r>
        <w:rPr>
          <w:rFonts w:hint="eastAsia" w:ascii="仿宋_GB2312" w:eastAsia="仿宋_GB2312"/>
          <w:sz w:val="28"/>
          <w:szCs w:val="28"/>
        </w:rPr>
        <w:t>占总分的</w:t>
      </w:r>
      <w:bookmarkEnd w:id="1"/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（2）语法和词汇：占总分的20%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（3）德汉互译：占总分的30%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（4）写作：占总分的20%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参考书目</w:t>
      </w:r>
    </w:p>
    <w:p>
      <w:pPr>
        <w:spacing w:line="360" w:lineRule="auto"/>
        <w:ind w:left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</w:rPr>
        <w:t>德国概况》(tatsachen-ueber-deutschland.de德文版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中文版),</w:t>
      </w:r>
      <w:r>
        <w:rPr>
          <w:rFonts w:ascii="仿宋_GB2312" w:eastAsia="仿宋_GB2312"/>
          <w:sz w:val="28"/>
          <w:szCs w:val="28"/>
        </w:rPr>
        <w:t xml:space="preserve"> Societ</w:t>
      </w:r>
      <w:r>
        <w:rPr>
          <w:rFonts w:hint="eastAsia" w:ascii="仿宋_GB2312" w:eastAsia="仿宋_GB2312"/>
          <w:sz w:val="28"/>
          <w:szCs w:val="28"/>
        </w:rPr>
        <w:t>ae</w:t>
      </w:r>
      <w:r>
        <w:rPr>
          <w:rFonts w:ascii="仿宋_GB2312" w:eastAsia="仿宋_GB2312"/>
          <w:sz w:val="28"/>
          <w:szCs w:val="28"/>
        </w:rPr>
        <w:t>ts-Verlag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Frankfurt a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M., 2018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pStyle w:val="7"/>
        <w:ind w:left="420" w:leftChars="200" w:firstLine="0" w:firstLineChars="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2．《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文化视窗—高级德语教程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》（第1、2册），钱敏汝主编，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外语教学与研究出版社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，2014年。</w:t>
      </w:r>
    </w:p>
    <w:p>
      <w:pPr>
        <w:pStyle w:val="7"/>
        <w:ind w:left="420" w:leftChars="200" w:firstLine="140" w:firstLineChars="50"/>
        <w:textAlignment w:val="baseline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3．《德语专业写作教程》（上、下），王丽萍、顾牧，高等教育出版社，2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010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A01"/>
    <w:multiLevelType w:val="multilevel"/>
    <w:tmpl w:val="597C2A01"/>
    <w:lvl w:ilvl="0" w:tentative="0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43F2A"/>
    <w:rsid w:val="00056A4D"/>
    <w:rsid w:val="000A6D16"/>
    <w:rsid w:val="000B2515"/>
    <w:rsid w:val="000C770E"/>
    <w:rsid w:val="000D3BC0"/>
    <w:rsid w:val="000F70EF"/>
    <w:rsid w:val="0014230A"/>
    <w:rsid w:val="001508EF"/>
    <w:rsid w:val="001943DD"/>
    <w:rsid w:val="001E75DF"/>
    <w:rsid w:val="00214775"/>
    <w:rsid w:val="00215937"/>
    <w:rsid w:val="00237A76"/>
    <w:rsid w:val="00244EE8"/>
    <w:rsid w:val="00253E37"/>
    <w:rsid w:val="002571FD"/>
    <w:rsid w:val="002A6ADC"/>
    <w:rsid w:val="002B663A"/>
    <w:rsid w:val="002C32AA"/>
    <w:rsid w:val="003174B2"/>
    <w:rsid w:val="00325338"/>
    <w:rsid w:val="003556F3"/>
    <w:rsid w:val="00357A82"/>
    <w:rsid w:val="003712F1"/>
    <w:rsid w:val="00381AB7"/>
    <w:rsid w:val="00410346"/>
    <w:rsid w:val="004906A8"/>
    <w:rsid w:val="004D02E7"/>
    <w:rsid w:val="00507453"/>
    <w:rsid w:val="00521DE0"/>
    <w:rsid w:val="005B7536"/>
    <w:rsid w:val="00601122"/>
    <w:rsid w:val="00616979"/>
    <w:rsid w:val="00656051"/>
    <w:rsid w:val="0069297D"/>
    <w:rsid w:val="006C75CC"/>
    <w:rsid w:val="006E0699"/>
    <w:rsid w:val="007032D1"/>
    <w:rsid w:val="00732038"/>
    <w:rsid w:val="00746C1F"/>
    <w:rsid w:val="00755B02"/>
    <w:rsid w:val="00765A9D"/>
    <w:rsid w:val="00772476"/>
    <w:rsid w:val="00802371"/>
    <w:rsid w:val="00843C85"/>
    <w:rsid w:val="0086115B"/>
    <w:rsid w:val="00896E6F"/>
    <w:rsid w:val="008A101E"/>
    <w:rsid w:val="008A7004"/>
    <w:rsid w:val="008B6001"/>
    <w:rsid w:val="00971655"/>
    <w:rsid w:val="00983024"/>
    <w:rsid w:val="0099388E"/>
    <w:rsid w:val="009C4995"/>
    <w:rsid w:val="00A1112D"/>
    <w:rsid w:val="00A90F32"/>
    <w:rsid w:val="00AC740C"/>
    <w:rsid w:val="00AD0B16"/>
    <w:rsid w:val="00AD2B42"/>
    <w:rsid w:val="00AD60B8"/>
    <w:rsid w:val="00AE764F"/>
    <w:rsid w:val="00B268A9"/>
    <w:rsid w:val="00B316B0"/>
    <w:rsid w:val="00B648A0"/>
    <w:rsid w:val="00BE159F"/>
    <w:rsid w:val="00C06739"/>
    <w:rsid w:val="00C10815"/>
    <w:rsid w:val="00C54641"/>
    <w:rsid w:val="00C76943"/>
    <w:rsid w:val="00CB2247"/>
    <w:rsid w:val="00CB7DC2"/>
    <w:rsid w:val="00CC5223"/>
    <w:rsid w:val="00D463EC"/>
    <w:rsid w:val="00D4755B"/>
    <w:rsid w:val="00D92CB3"/>
    <w:rsid w:val="00DC4E95"/>
    <w:rsid w:val="00E20F3E"/>
    <w:rsid w:val="00E21ADA"/>
    <w:rsid w:val="00E31DFF"/>
    <w:rsid w:val="00E658E1"/>
    <w:rsid w:val="00ED2C19"/>
    <w:rsid w:val="00EE789F"/>
    <w:rsid w:val="00F0671B"/>
    <w:rsid w:val="00F56CF6"/>
    <w:rsid w:val="00FB28AF"/>
    <w:rsid w:val="00FC094B"/>
    <w:rsid w:val="00FD1D8C"/>
    <w:rsid w:val="432830CB"/>
    <w:rsid w:val="672578C1"/>
    <w:rsid w:val="73FA13E5"/>
    <w:rsid w:val="76015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Emphasis"/>
    <w:qFormat/>
    <w:uiPriority w:val="20"/>
    <w:rPr>
      <w:i/>
      <w:iCs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2021-07-01T06:41:00Z</dcterms:created>
  <dc:creator>Zheng Zhongyu</dc:creator>
  <cp:lastModifiedBy>vertesyuan</cp:lastModifiedBy>
  <dcterms:modified xsi:type="dcterms:W3CDTF">2021-12-08T07:28:51Z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