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昆明理工大学硕士研究生入学考试《专业命题设计》考试大纲</w:t>
      </w:r>
    </w:p>
    <w:p>
      <w:pPr>
        <w:spacing w:line="240" w:lineRule="atLeast"/>
        <w:rPr>
          <w:rFonts w:hint="eastAsia" w:ascii="宋体" w:hAnsi="宋体"/>
          <w:b/>
          <w:bCs/>
          <w:szCs w:val="21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 xml:space="preserve">第一部分  </w:t>
      </w:r>
      <w:r>
        <w:rPr>
          <w:rFonts w:hint="eastAsia" w:ascii="黑体" w:eastAsia="黑体"/>
          <w:bCs/>
          <w:sz w:val="28"/>
          <w:szCs w:val="28"/>
        </w:rPr>
        <w:t>考试形式和试卷结构</w:t>
      </w:r>
    </w:p>
    <w:p>
      <w:pPr>
        <w:spacing w:after="62" w:afterLines="20"/>
        <w:ind w:firstLine="551" w:firstLineChars="196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一、试卷满分及考试时间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试卷满分为150分，考试时间为180分钟。</w:t>
      </w:r>
    </w:p>
    <w:p>
      <w:pPr>
        <w:spacing w:before="62" w:beforeLines="20" w:after="62" w:afterLines="20"/>
        <w:ind w:firstLine="551" w:firstLineChars="196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二、答题方式</w:t>
      </w:r>
    </w:p>
    <w:p>
      <w:pPr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答题方式为闭卷、笔试。自带白色不透明A2幅面绘图纸及绘图工具。</w:t>
      </w:r>
    </w:p>
    <w:p>
      <w:pPr>
        <w:spacing w:before="62" w:beforeLines="20" w:after="62" w:afterLines="20"/>
        <w:ind w:firstLine="551" w:firstLineChars="196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三、试卷的内容结构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《专业命题设计》考试试卷中包含产品设计、室内设计、景观设计、视觉传达设计四个专业方向的考题。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产品</w:t>
      </w:r>
      <w:r>
        <w:rPr>
          <w:rFonts w:ascii="宋体" w:hAnsi="宋体"/>
          <w:sz w:val="28"/>
          <w:szCs w:val="28"/>
        </w:rPr>
        <w:t>设计</w:t>
      </w:r>
      <w:r>
        <w:rPr>
          <w:rFonts w:hint="eastAsia" w:ascii="宋体" w:hAnsi="宋体"/>
          <w:sz w:val="28"/>
          <w:szCs w:val="28"/>
        </w:rPr>
        <w:t>方向命题设计                  150分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室内设计方向命题设计                  150分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景观设计方向命题设计                  150分</w:t>
      </w:r>
    </w:p>
    <w:p>
      <w:pPr>
        <w:ind w:firstLine="54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视觉传达设计方向命题设计              150分</w:t>
      </w:r>
    </w:p>
    <w:p>
      <w:pPr>
        <w:spacing w:line="240" w:lineRule="atLeas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四个方向的试题在同一份试卷上，考生根据自己所学专业，选择完成其中任一个方向的试题即可。</w:t>
      </w:r>
    </w:p>
    <w:p>
      <w:pPr>
        <w:spacing w:before="62" w:beforeLines="20" w:after="62" w:afterLines="20"/>
        <w:ind w:firstLine="548" w:firstLineChars="196"/>
        <w:rPr>
          <w:rFonts w:hint="eastAsia" w:ascii="宋体" w:hAnsi="宋体"/>
          <w:sz w:val="28"/>
          <w:szCs w:val="28"/>
        </w:rPr>
      </w:pPr>
    </w:p>
    <w:p>
      <w:pPr>
        <w:spacing w:before="62" w:beforeLines="20" w:after="62" w:afterLines="20"/>
        <w:ind w:firstLine="551" w:firstLineChars="196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四、试卷的题型结构</w:t>
      </w:r>
    </w:p>
    <w:p>
      <w:pPr>
        <w:ind w:firstLine="562" w:firstLineChars="20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（一）、产品</w:t>
      </w:r>
      <w:r>
        <w:rPr>
          <w:rFonts w:ascii="宋体" w:hAnsi="宋体"/>
          <w:b/>
          <w:sz w:val="28"/>
          <w:szCs w:val="28"/>
        </w:rPr>
        <w:t>设计</w:t>
      </w:r>
      <w:r>
        <w:rPr>
          <w:rFonts w:hint="eastAsia" w:ascii="宋体" w:hAnsi="宋体"/>
          <w:b/>
          <w:sz w:val="28"/>
          <w:szCs w:val="28"/>
        </w:rPr>
        <w:t>方向</w:t>
      </w:r>
    </w:p>
    <w:p>
      <w:pPr>
        <w:ind w:firstLine="980" w:firstLineChars="3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ascii="宋体" w:hAnsi="宋体"/>
          <w:sz w:val="28"/>
          <w:szCs w:val="28"/>
        </w:rPr>
        <w:t>考试</w:t>
      </w:r>
      <w:r>
        <w:rPr>
          <w:rFonts w:hint="eastAsia" w:ascii="宋体" w:hAnsi="宋体"/>
          <w:sz w:val="28"/>
          <w:szCs w:val="28"/>
        </w:rPr>
        <w:t>题型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产品</w:t>
      </w:r>
      <w:r>
        <w:rPr>
          <w:rFonts w:ascii="宋体" w:hAnsi="宋体"/>
          <w:sz w:val="28"/>
          <w:szCs w:val="28"/>
        </w:rPr>
        <w:t>设计快题设计。</w:t>
      </w:r>
    </w:p>
    <w:p>
      <w:pPr>
        <w:ind w:left="840" w:leftChars="400"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ascii="宋体" w:hAnsi="宋体"/>
          <w:sz w:val="28"/>
          <w:szCs w:val="28"/>
        </w:rPr>
        <w:t>各部分内容的考查比例</w:t>
      </w:r>
    </w:p>
    <w:p>
      <w:pPr>
        <w:ind w:left="840" w:leftChars="4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创新性与可实现性</w:t>
      </w:r>
      <w:r>
        <w:rPr>
          <w:rFonts w:hint="eastAsia" w:ascii="宋体" w:hAnsi="宋体"/>
          <w:sz w:val="28"/>
          <w:szCs w:val="28"/>
        </w:rPr>
        <w:t xml:space="preserve">        约占30分</w:t>
      </w:r>
    </w:p>
    <w:p>
      <w:pPr>
        <w:ind w:firstLine="840" w:firstLineChars="3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造型新颖性与色彩协调性</w:t>
      </w:r>
      <w:r>
        <w:rPr>
          <w:rFonts w:hint="eastAsia" w:ascii="宋体" w:hAnsi="宋体"/>
          <w:sz w:val="28"/>
          <w:szCs w:val="28"/>
        </w:rPr>
        <w:t xml:space="preserve">  约占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45分</w:t>
      </w:r>
    </w:p>
    <w:p>
      <w:pPr>
        <w:ind w:firstLine="840" w:firstLineChars="3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绿色设计</w:t>
      </w:r>
      <w:r>
        <w:rPr>
          <w:rFonts w:hint="eastAsia" w:ascii="宋体" w:hAnsi="宋体"/>
          <w:sz w:val="28"/>
          <w:szCs w:val="28"/>
        </w:rPr>
        <w:t>与</w:t>
      </w:r>
      <w:r>
        <w:rPr>
          <w:rFonts w:ascii="宋体" w:hAnsi="宋体"/>
          <w:sz w:val="28"/>
          <w:szCs w:val="28"/>
        </w:rPr>
        <w:t>节能环保</w:t>
      </w:r>
      <w:r>
        <w:rPr>
          <w:rFonts w:hint="eastAsia" w:ascii="宋体" w:hAnsi="宋体"/>
          <w:sz w:val="28"/>
          <w:szCs w:val="28"/>
        </w:rPr>
        <w:t xml:space="preserve">      约占30分</w:t>
      </w:r>
    </w:p>
    <w:p>
      <w:pPr>
        <w:ind w:left="840" w:leftChars="4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图面表现与文字</w:t>
      </w:r>
      <w:r>
        <w:rPr>
          <w:rFonts w:hint="eastAsia" w:ascii="宋体" w:hAnsi="宋体"/>
          <w:sz w:val="28"/>
          <w:szCs w:val="28"/>
        </w:rPr>
        <w:t>表</w:t>
      </w:r>
      <w:r>
        <w:rPr>
          <w:rFonts w:ascii="宋体" w:hAnsi="宋体"/>
          <w:sz w:val="28"/>
          <w:szCs w:val="28"/>
        </w:rPr>
        <w:t>达</w:t>
      </w:r>
      <w:r>
        <w:rPr>
          <w:rFonts w:hint="eastAsia" w:ascii="宋体" w:hAnsi="宋体"/>
          <w:sz w:val="28"/>
          <w:szCs w:val="28"/>
        </w:rPr>
        <w:t xml:space="preserve">      约占45分</w:t>
      </w:r>
    </w:p>
    <w:p>
      <w:pPr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（二）、环境艺术（室内）设计方向</w:t>
      </w:r>
    </w:p>
    <w:p>
      <w:pPr>
        <w:ind w:left="84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l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考试</w:t>
      </w:r>
      <w:r>
        <w:rPr>
          <w:rFonts w:hint="eastAsia" w:ascii="宋体" w:hAnsi="宋体"/>
          <w:sz w:val="28"/>
          <w:szCs w:val="28"/>
        </w:rPr>
        <w:t>题型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室内</w:t>
      </w:r>
      <w:r>
        <w:rPr>
          <w:rFonts w:ascii="宋体" w:hAnsi="宋体"/>
          <w:sz w:val="28"/>
          <w:szCs w:val="28"/>
        </w:rPr>
        <w:t>设计快题设计。</w:t>
      </w:r>
    </w:p>
    <w:p>
      <w:pPr>
        <w:ind w:left="84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ascii="宋体" w:hAnsi="宋体"/>
          <w:sz w:val="28"/>
          <w:szCs w:val="28"/>
        </w:rPr>
        <w:t>各部分内容的考查比例</w:t>
      </w:r>
    </w:p>
    <w:p>
      <w:pPr>
        <w:ind w:left="840" w:leftChars="400" w:firstLine="420" w:firstLineChars="15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构思立意与设计定位</w:t>
      </w:r>
      <w:r>
        <w:rPr>
          <w:rFonts w:hint="eastAsia" w:ascii="宋体" w:hAnsi="宋体"/>
          <w:sz w:val="28"/>
          <w:szCs w:val="28"/>
        </w:rPr>
        <w:t xml:space="preserve">           30分</w:t>
      </w:r>
    </w:p>
    <w:p>
      <w:pPr>
        <w:ind w:left="840" w:leftChars="400" w:firstLine="420" w:firstLineChars="15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功能安排与空间布置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     45分</w:t>
      </w:r>
    </w:p>
    <w:p>
      <w:pPr>
        <w:ind w:left="840" w:leftChars="400" w:firstLine="420" w:firstLineChars="15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内外环境的</w:t>
      </w:r>
      <w:r>
        <w:rPr>
          <w:rFonts w:hint="eastAsia" w:ascii="宋体" w:hAnsi="宋体"/>
          <w:sz w:val="28"/>
          <w:szCs w:val="28"/>
        </w:rPr>
        <w:t>装饰</w:t>
      </w:r>
      <w:r>
        <w:rPr>
          <w:rFonts w:ascii="宋体" w:hAnsi="宋体"/>
          <w:sz w:val="28"/>
          <w:szCs w:val="28"/>
        </w:rPr>
        <w:t>设计</w:t>
      </w: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30分</w:t>
      </w:r>
    </w:p>
    <w:p>
      <w:pPr>
        <w:ind w:left="840" w:leftChars="400" w:firstLine="420" w:firstLineChars="15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图面表现与文字表达</w:t>
      </w: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45分</w:t>
      </w:r>
    </w:p>
    <w:p>
      <w:pPr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（三）、环境艺术（景观）设计方向</w:t>
      </w:r>
    </w:p>
    <w:p>
      <w:pPr>
        <w:ind w:left="84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l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考试</w:t>
      </w:r>
      <w:r>
        <w:rPr>
          <w:rFonts w:hint="eastAsia" w:ascii="宋体" w:hAnsi="宋体"/>
          <w:sz w:val="28"/>
          <w:szCs w:val="28"/>
        </w:rPr>
        <w:t>题型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景观</w:t>
      </w:r>
      <w:r>
        <w:rPr>
          <w:rFonts w:ascii="宋体" w:hAnsi="宋体"/>
          <w:sz w:val="28"/>
          <w:szCs w:val="28"/>
        </w:rPr>
        <w:t>设计快题设计。</w:t>
      </w:r>
    </w:p>
    <w:p>
      <w:pPr>
        <w:ind w:left="84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ascii="宋体" w:hAnsi="宋体"/>
          <w:sz w:val="28"/>
          <w:szCs w:val="28"/>
        </w:rPr>
        <w:t>各部分内容的考查比例</w:t>
      </w:r>
    </w:p>
    <w:p>
      <w:pPr>
        <w:ind w:left="840" w:leftChars="400"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概念构思</w:t>
      </w:r>
      <w:r>
        <w:rPr>
          <w:rFonts w:ascii="宋体" w:hAnsi="宋体"/>
          <w:sz w:val="28"/>
          <w:szCs w:val="28"/>
        </w:rPr>
        <w:t>与设计</w:t>
      </w:r>
      <w:r>
        <w:rPr>
          <w:rFonts w:hint="eastAsia" w:ascii="宋体" w:hAnsi="宋体"/>
          <w:sz w:val="28"/>
          <w:szCs w:val="28"/>
        </w:rPr>
        <w:t>定位           30分</w:t>
      </w:r>
    </w:p>
    <w:p>
      <w:pPr>
        <w:ind w:left="840" w:leftChars="400"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景观功能</w:t>
      </w:r>
      <w:r>
        <w:rPr>
          <w:rFonts w:ascii="宋体" w:hAnsi="宋体"/>
          <w:sz w:val="28"/>
          <w:szCs w:val="28"/>
        </w:rPr>
        <w:t>与空间布</w:t>
      </w:r>
      <w:r>
        <w:rPr>
          <w:rFonts w:hint="eastAsia" w:ascii="宋体" w:hAnsi="宋体"/>
          <w:sz w:val="28"/>
          <w:szCs w:val="28"/>
        </w:rPr>
        <w:t xml:space="preserve">局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     37.5分</w:t>
      </w:r>
    </w:p>
    <w:p>
      <w:pPr>
        <w:ind w:left="840" w:leftChars="400"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景观节点与细节设计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45分</w:t>
      </w:r>
    </w:p>
    <w:p>
      <w:pPr>
        <w:ind w:left="840" w:leftChars="400" w:firstLine="420" w:firstLineChars="15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图面表现与文字表达</w:t>
      </w: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37.5分</w:t>
      </w:r>
    </w:p>
    <w:p>
      <w:pPr>
        <w:ind w:left="840" w:leftChars="400" w:firstLine="420" w:firstLineChars="150"/>
        <w:rPr>
          <w:rFonts w:hint="eastAsia" w:ascii="宋体" w:hAnsi="宋体"/>
          <w:sz w:val="28"/>
          <w:szCs w:val="28"/>
        </w:rPr>
      </w:pPr>
    </w:p>
    <w:p>
      <w:pPr>
        <w:ind w:firstLine="562" w:firstLineChars="20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（四）、视觉传达设计方向</w:t>
      </w:r>
    </w:p>
    <w:p>
      <w:pPr>
        <w:ind w:firstLine="980" w:firstLineChars="3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ascii="宋体" w:hAnsi="宋体"/>
          <w:sz w:val="28"/>
          <w:szCs w:val="28"/>
        </w:rPr>
        <w:t>考试</w:t>
      </w:r>
      <w:r>
        <w:rPr>
          <w:rFonts w:hint="eastAsia" w:ascii="宋体" w:hAnsi="宋体"/>
          <w:sz w:val="28"/>
          <w:szCs w:val="28"/>
        </w:rPr>
        <w:t>题型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视觉传达设计快题设计。</w:t>
      </w:r>
    </w:p>
    <w:p>
      <w:pPr>
        <w:ind w:left="840" w:leftChars="400"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</w:t>
      </w:r>
      <w:r>
        <w:rPr>
          <w:rFonts w:ascii="宋体" w:hAnsi="宋体"/>
          <w:sz w:val="28"/>
          <w:szCs w:val="28"/>
        </w:rPr>
        <w:t>各部分内容的考查比例</w:t>
      </w:r>
    </w:p>
    <w:p>
      <w:pPr>
        <w:ind w:firstLine="1330" w:firstLineChars="475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主题表意的准确性</w:t>
      </w:r>
      <w:r>
        <w:rPr>
          <w:rFonts w:hint="eastAsia" w:ascii="宋体" w:hAnsi="宋体"/>
          <w:sz w:val="28"/>
          <w:szCs w:val="28"/>
        </w:rPr>
        <w:t xml:space="preserve">             30分</w:t>
      </w:r>
    </w:p>
    <w:p>
      <w:pPr>
        <w:ind w:firstLine="1330" w:firstLineChars="47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视觉</w:t>
      </w:r>
      <w:r>
        <w:rPr>
          <w:rFonts w:ascii="宋体" w:hAnsi="宋体"/>
          <w:sz w:val="28"/>
          <w:szCs w:val="28"/>
        </w:rPr>
        <w:t>表现的原创性</w:t>
      </w:r>
      <w:r>
        <w:rPr>
          <w:rFonts w:hint="eastAsia" w:ascii="宋体" w:hAnsi="宋体"/>
          <w:sz w:val="28"/>
          <w:szCs w:val="28"/>
        </w:rPr>
        <w:t xml:space="preserve">             45分</w:t>
      </w:r>
    </w:p>
    <w:p>
      <w:pPr>
        <w:ind w:firstLine="1330" w:firstLineChars="475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艺术创意的独特性</w:t>
      </w:r>
      <w:r>
        <w:rPr>
          <w:rFonts w:hint="eastAsia" w:ascii="宋体" w:hAnsi="宋体"/>
          <w:sz w:val="28"/>
          <w:szCs w:val="28"/>
        </w:rPr>
        <w:t xml:space="preserve">             30分</w:t>
      </w:r>
    </w:p>
    <w:p>
      <w:pPr>
        <w:ind w:firstLine="1330" w:firstLineChars="475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图面表现与文字表达</w:t>
      </w: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45分</w:t>
      </w:r>
    </w:p>
    <w:p>
      <w:pPr>
        <w:spacing w:line="360" w:lineRule="auto"/>
        <w:rPr>
          <w:rFonts w:hint="eastAsia" w:ascii="黑体" w:hAnsi="黑体" w:eastAsia="黑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第二部分  考察的知识及范围</w:t>
      </w:r>
    </w:p>
    <w:p>
      <w:pPr>
        <w:ind w:firstLine="562" w:firstLineChars="20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一、产品</w:t>
      </w:r>
      <w:r>
        <w:rPr>
          <w:rFonts w:ascii="宋体" w:hAnsi="宋体"/>
          <w:b/>
          <w:sz w:val="28"/>
          <w:szCs w:val="28"/>
        </w:rPr>
        <w:t>设计</w:t>
      </w:r>
      <w:r>
        <w:rPr>
          <w:rFonts w:hint="eastAsia" w:ascii="宋体" w:hAnsi="宋体"/>
          <w:b/>
          <w:sz w:val="28"/>
          <w:szCs w:val="28"/>
        </w:rPr>
        <w:t>方向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察学生对工业设计基本理论和设计表现技巧的掌握能力。要求能运用产品设计的基本理论知识，从使用方式、功能、造型、色彩、人机工程、材料工艺、环境等方面提出产品设计的方案。考察的知识及范围包括工业设计领域的基础造型理论、产品设计方法、人机工程学等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ind w:firstLine="562" w:firstLineChars="20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二、环境艺术（室内设计）方向   </w:t>
      </w:r>
    </w:p>
    <w:p>
      <w:pPr>
        <w:pStyle w:val="3"/>
        <w:ind w:firstLine="480"/>
        <w:rPr>
          <w:rFonts w:hint="eastAsia" w:hAnsi="宋体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考查范围包括</w:t>
      </w:r>
      <w:r>
        <w:rPr>
          <w:rFonts w:hAnsi="宋体" w:cs="Times New Roman"/>
          <w:sz w:val="28"/>
          <w:szCs w:val="28"/>
        </w:rPr>
        <w:t>各类建筑内外环境设计的原理与方法</w:t>
      </w:r>
      <w:r>
        <w:rPr>
          <w:rFonts w:hint="eastAsia" w:hAnsi="宋体" w:cs="Times New Roman"/>
          <w:sz w:val="28"/>
          <w:szCs w:val="28"/>
        </w:rPr>
        <w:t>、</w:t>
      </w:r>
      <w:r>
        <w:rPr>
          <w:rFonts w:hAnsi="宋体" w:cs="Times New Roman"/>
          <w:sz w:val="28"/>
          <w:szCs w:val="28"/>
        </w:rPr>
        <w:t>要求与程序，以及与其相关专业配合的知识。把握空间设计的原理与手法，并能运用造型、色彩、照明、陈设、绿化、传达等设计要素来创造良好的、功能合理及具有艺术性的建筑室内</w:t>
      </w:r>
      <w:r>
        <w:rPr>
          <w:rFonts w:hint="eastAsia" w:hAnsi="宋体" w:cs="Times New Roman"/>
          <w:sz w:val="28"/>
          <w:szCs w:val="28"/>
        </w:rPr>
        <w:t>外</w:t>
      </w:r>
      <w:r>
        <w:rPr>
          <w:rFonts w:hAnsi="宋体" w:cs="Times New Roman"/>
          <w:sz w:val="28"/>
          <w:szCs w:val="28"/>
        </w:rPr>
        <w:t>环境</w:t>
      </w:r>
      <w:r>
        <w:rPr>
          <w:rFonts w:hint="eastAsia" w:hAnsi="宋体" w:cs="Times New Roman"/>
          <w:sz w:val="28"/>
          <w:szCs w:val="28"/>
        </w:rPr>
        <w:t>。把握建筑室内外环境中人体的基本尺度与行为方式，了解与认识相关装饰材料、装修作法与安全防火等设计规范，并能运用正确的设计制图与表现方式进行设计。</w:t>
      </w:r>
    </w:p>
    <w:p>
      <w:pPr>
        <w:pStyle w:val="3"/>
        <w:ind w:firstLine="480"/>
        <w:outlineLvl w:val="0"/>
        <w:rPr>
          <w:rFonts w:hint="eastAsia" w:hAnsi="宋体"/>
          <w:b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三、</w:t>
      </w:r>
      <w:r>
        <w:rPr>
          <w:rFonts w:hint="eastAsia" w:hAnsi="宋体"/>
          <w:b/>
          <w:sz w:val="28"/>
          <w:szCs w:val="28"/>
        </w:rPr>
        <w:t>环境艺术（景观设计）方向</w:t>
      </w:r>
    </w:p>
    <w:p>
      <w:pPr>
        <w:pStyle w:val="3"/>
        <w:ind w:firstLine="480"/>
        <w:rPr>
          <w:rFonts w:hint="eastAsia" w:hAnsi="宋体" w:cs="Times New Roman"/>
          <w:sz w:val="28"/>
          <w:szCs w:val="28"/>
        </w:rPr>
      </w:pPr>
      <w:r>
        <w:rPr>
          <w:rFonts w:hint="eastAsia" w:hAnsi="宋体" w:cs="Times New Roman"/>
          <w:sz w:val="28"/>
          <w:szCs w:val="28"/>
        </w:rPr>
        <w:t>考查范围包括</w:t>
      </w:r>
      <w:r>
        <w:rPr>
          <w:rFonts w:hAnsi="宋体" w:cs="Times New Roman"/>
          <w:sz w:val="28"/>
          <w:szCs w:val="28"/>
        </w:rPr>
        <w:t>各类</w:t>
      </w:r>
      <w:r>
        <w:rPr>
          <w:rFonts w:hint="eastAsia" w:hAnsi="宋体" w:cs="Times New Roman"/>
          <w:sz w:val="28"/>
          <w:szCs w:val="28"/>
        </w:rPr>
        <w:t>城市公园、绿地、广场、居住区及</w:t>
      </w:r>
      <w:r>
        <w:rPr>
          <w:rFonts w:hAnsi="宋体" w:cs="Times New Roman"/>
          <w:sz w:val="28"/>
          <w:szCs w:val="28"/>
        </w:rPr>
        <w:t>建筑</w:t>
      </w:r>
      <w:r>
        <w:rPr>
          <w:rFonts w:hint="eastAsia" w:hAnsi="宋体" w:cs="Times New Roman"/>
          <w:sz w:val="28"/>
          <w:szCs w:val="28"/>
        </w:rPr>
        <w:t>外部景观</w:t>
      </w:r>
      <w:r>
        <w:rPr>
          <w:rFonts w:hAnsi="宋体" w:cs="Times New Roman"/>
          <w:sz w:val="28"/>
          <w:szCs w:val="28"/>
        </w:rPr>
        <w:t>设计的原理</w:t>
      </w:r>
      <w:r>
        <w:rPr>
          <w:rFonts w:hint="eastAsia" w:hAnsi="宋体" w:cs="Times New Roman"/>
          <w:sz w:val="28"/>
          <w:szCs w:val="28"/>
        </w:rPr>
        <w:t>、</w:t>
      </w:r>
      <w:r>
        <w:rPr>
          <w:rFonts w:hAnsi="宋体" w:cs="Times New Roman"/>
          <w:sz w:val="28"/>
          <w:szCs w:val="28"/>
        </w:rPr>
        <w:t>方法</w:t>
      </w:r>
      <w:r>
        <w:rPr>
          <w:rFonts w:hint="eastAsia" w:hAnsi="宋体" w:cs="Times New Roman"/>
          <w:sz w:val="28"/>
          <w:szCs w:val="28"/>
        </w:rPr>
        <w:t>、</w:t>
      </w:r>
      <w:r>
        <w:rPr>
          <w:rFonts w:hAnsi="宋体" w:cs="Times New Roman"/>
          <w:sz w:val="28"/>
          <w:szCs w:val="28"/>
        </w:rPr>
        <w:t>程序</w:t>
      </w:r>
      <w:r>
        <w:rPr>
          <w:rFonts w:hint="eastAsia" w:hAnsi="宋体" w:cs="Times New Roman"/>
          <w:sz w:val="28"/>
          <w:szCs w:val="28"/>
        </w:rPr>
        <w:t>与表现</w:t>
      </w:r>
      <w:r>
        <w:rPr>
          <w:rFonts w:hAnsi="宋体" w:cs="Times New Roman"/>
          <w:sz w:val="28"/>
          <w:szCs w:val="28"/>
        </w:rPr>
        <w:t>，以及与</w:t>
      </w:r>
      <w:r>
        <w:rPr>
          <w:rFonts w:hint="eastAsia" w:hAnsi="宋体" w:cs="Times New Roman"/>
          <w:sz w:val="28"/>
          <w:szCs w:val="28"/>
        </w:rPr>
        <w:t>之</w:t>
      </w:r>
      <w:r>
        <w:rPr>
          <w:rFonts w:hAnsi="宋体" w:cs="Times New Roman"/>
          <w:sz w:val="28"/>
          <w:szCs w:val="28"/>
        </w:rPr>
        <w:t>相关专业配合的知识。把握</w:t>
      </w:r>
      <w:r>
        <w:rPr>
          <w:rFonts w:hint="eastAsia" w:hAnsi="宋体" w:cs="Times New Roman"/>
          <w:sz w:val="28"/>
          <w:szCs w:val="28"/>
        </w:rPr>
        <w:t>景观功能与</w:t>
      </w:r>
      <w:r>
        <w:rPr>
          <w:rFonts w:hAnsi="宋体" w:cs="Times New Roman"/>
          <w:sz w:val="28"/>
          <w:szCs w:val="28"/>
        </w:rPr>
        <w:t>空间设计的原理与手法，并能运用</w:t>
      </w:r>
      <w:r>
        <w:rPr>
          <w:rFonts w:hint="eastAsia" w:hAnsi="宋体" w:cs="Times New Roman"/>
          <w:sz w:val="28"/>
          <w:szCs w:val="28"/>
        </w:rPr>
        <w:t>视觉美学、生态技术、材料造型、景观</w:t>
      </w:r>
      <w:r>
        <w:rPr>
          <w:rFonts w:hAnsi="宋体" w:cs="Times New Roman"/>
          <w:sz w:val="28"/>
          <w:szCs w:val="28"/>
        </w:rPr>
        <w:t>绿化</w:t>
      </w:r>
      <w:r>
        <w:rPr>
          <w:rFonts w:hint="eastAsia" w:hAnsi="宋体" w:cs="Times New Roman"/>
          <w:sz w:val="28"/>
          <w:szCs w:val="28"/>
        </w:rPr>
        <w:t>、</w:t>
      </w:r>
      <w:r>
        <w:rPr>
          <w:rFonts w:hAnsi="宋体" w:cs="Times New Roman"/>
          <w:sz w:val="28"/>
          <w:szCs w:val="28"/>
        </w:rPr>
        <w:t>色彩、照明、</w:t>
      </w:r>
      <w:r>
        <w:rPr>
          <w:rFonts w:hint="eastAsia" w:hAnsi="宋体" w:cs="Times New Roman"/>
          <w:sz w:val="28"/>
          <w:szCs w:val="28"/>
        </w:rPr>
        <w:t>铺地、小品</w:t>
      </w:r>
      <w:r>
        <w:rPr>
          <w:rFonts w:hAnsi="宋体" w:cs="Times New Roman"/>
          <w:sz w:val="28"/>
          <w:szCs w:val="28"/>
        </w:rPr>
        <w:t>等设计</w:t>
      </w:r>
      <w:r>
        <w:rPr>
          <w:rFonts w:hint="eastAsia" w:hAnsi="宋体" w:cs="Times New Roman"/>
          <w:sz w:val="28"/>
          <w:szCs w:val="28"/>
        </w:rPr>
        <w:t>元</w:t>
      </w:r>
      <w:r>
        <w:rPr>
          <w:rFonts w:hAnsi="宋体" w:cs="Times New Roman"/>
          <w:sz w:val="28"/>
          <w:szCs w:val="28"/>
        </w:rPr>
        <w:t>素来创造</w:t>
      </w:r>
      <w:r>
        <w:rPr>
          <w:rFonts w:hint="eastAsia" w:hAnsi="宋体" w:cs="Times New Roman"/>
          <w:sz w:val="28"/>
          <w:szCs w:val="28"/>
        </w:rPr>
        <w:t>视觉</w:t>
      </w:r>
      <w:r>
        <w:rPr>
          <w:rFonts w:hAnsi="宋体" w:cs="Times New Roman"/>
          <w:sz w:val="28"/>
          <w:szCs w:val="28"/>
        </w:rPr>
        <w:t>良好、功能合理</w:t>
      </w:r>
      <w:r>
        <w:rPr>
          <w:rFonts w:hint="eastAsia" w:hAnsi="宋体" w:cs="Times New Roman"/>
          <w:sz w:val="28"/>
          <w:szCs w:val="28"/>
        </w:rPr>
        <w:t>、</w:t>
      </w:r>
      <w:r>
        <w:rPr>
          <w:rFonts w:hAnsi="宋体" w:cs="Times New Roman"/>
          <w:sz w:val="28"/>
          <w:szCs w:val="28"/>
        </w:rPr>
        <w:t>具有艺术性的</w:t>
      </w:r>
      <w:r>
        <w:rPr>
          <w:rFonts w:hint="eastAsia" w:hAnsi="宋体" w:cs="Times New Roman"/>
          <w:sz w:val="28"/>
          <w:szCs w:val="28"/>
        </w:rPr>
        <w:t>人居环境。掌握人体的基本尺度与环境——行为模式，了解与认识相关景观构造的详细作法与相关设计规范，并能熟练按照制图规范正确绘制设计图纸。</w:t>
      </w:r>
    </w:p>
    <w:p>
      <w:pPr>
        <w:pStyle w:val="3"/>
        <w:rPr>
          <w:rFonts w:hint="eastAsia" w:hAnsi="宋体" w:cs="Times New Roman"/>
          <w:sz w:val="28"/>
          <w:szCs w:val="28"/>
        </w:rPr>
      </w:pPr>
    </w:p>
    <w:p>
      <w:pPr>
        <w:ind w:firstLine="562" w:firstLineChars="200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四、视觉传达设计方向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主要</w:t>
      </w:r>
      <w:r>
        <w:rPr>
          <w:rFonts w:hint="eastAsia" w:ascii="宋体" w:hAnsi="宋体"/>
          <w:sz w:val="28"/>
          <w:szCs w:val="28"/>
        </w:rPr>
        <w:t>考查</w:t>
      </w:r>
      <w:r>
        <w:rPr>
          <w:rFonts w:ascii="宋体" w:hAnsi="宋体"/>
          <w:sz w:val="28"/>
          <w:szCs w:val="28"/>
        </w:rPr>
        <w:t>专业设计与造型能力,要求设计思维敏捷，思路开阔，造型准确，应用设计规范。</w:t>
      </w:r>
      <w:r>
        <w:rPr>
          <w:rFonts w:hint="eastAsia" w:ascii="宋体" w:hAnsi="宋体"/>
          <w:sz w:val="28"/>
          <w:szCs w:val="28"/>
        </w:rPr>
        <w:t>考查范围包括标志设计、包装设计、海报设计、书籍装帧设计、CI设计等。涉及</w:t>
      </w:r>
      <w:r>
        <w:rPr>
          <w:rFonts w:ascii="宋体" w:hAnsi="宋体"/>
          <w:sz w:val="28"/>
          <w:szCs w:val="28"/>
        </w:rPr>
        <w:t>文字设计、图形语言、图案设计、平面构成、色彩构成等</w:t>
      </w:r>
      <w:r>
        <w:rPr>
          <w:rFonts w:hint="eastAsia" w:ascii="宋体" w:hAnsi="宋体"/>
          <w:sz w:val="28"/>
          <w:szCs w:val="28"/>
        </w:rPr>
        <w:t>知识</w:t>
      </w:r>
      <w:r>
        <w:rPr>
          <w:rFonts w:ascii="宋体" w:hAnsi="宋体"/>
          <w:sz w:val="28"/>
          <w:szCs w:val="28"/>
        </w:rPr>
        <w:t>内容。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7"/>
    <w:rsid w:val="00013154"/>
    <w:rsid w:val="00020067"/>
    <w:rsid w:val="00021AAD"/>
    <w:rsid w:val="000258B0"/>
    <w:rsid w:val="00026274"/>
    <w:rsid w:val="000B70D2"/>
    <w:rsid w:val="000C3289"/>
    <w:rsid w:val="000C4F38"/>
    <w:rsid w:val="001079E7"/>
    <w:rsid w:val="001469F8"/>
    <w:rsid w:val="001530F7"/>
    <w:rsid w:val="00163D2E"/>
    <w:rsid w:val="00176F1E"/>
    <w:rsid w:val="00194F2F"/>
    <w:rsid w:val="001B2140"/>
    <w:rsid w:val="001C226B"/>
    <w:rsid w:val="001E3054"/>
    <w:rsid w:val="00251793"/>
    <w:rsid w:val="002574CF"/>
    <w:rsid w:val="00265B1F"/>
    <w:rsid w:val="002848E4"/>
    <w:rsid w:val="002A1E3A"/>
    <w:rsid w:val="002A437F"/>
    <w:rsid w:val="002E3237"/>
    <w:rsid w:val="002F541D"/>
    <w:rsid w:val="002F554F"/>
    <w:rsid w:val="00302FA6"/>
    <w:rsid w:val="00310975"/>
    <w:rsid w:val="00344193"/>
    <w:rsid w:val="00354CCC"/>
    <w:rsid w:val="003560CC"/>
    <w:rsid w:val="003A5F40"/>
    <w:rsid w:val="003D0D63"/>
    <w:rsid w:val="003D178D"/>
    <w:rsid w:val="003E1711"/>
    <w:rsid w:val="004001D9"/>
    <w:rsid w:val="00404C5A"/>
    <w:rsid w:val="004340D0"/>
    <w:rsid w:val="00436F7C"/>
    <w:rsid w:val="004503A3"/>
    <w:rsid w:val="00453709"/>
    <w:rsid w:val="00464EDA"/>
    <w:rsid w:val="004708C9"/>
    <w:rsid w:val="004A5BE8"/>
    <w:rsid w:val="004B2864"/>
    <w:rsid w:val="004F1661"/>
    <w:rsid w:val="00503C62"/>
    <w:rsid w:val="00504A6C"/>
    <w:rsid w:val="005375C6"/>
    <w:rsid w:val="00537F7C"/>
    <w:rsid w:val="005B3B28"/>
    <w:rsid w:val="005F2B3E"/>
    <w:rsid w:val="005F6A14"/>
    <w:rsid w:val="00621845"/>
    <w:rsid w:val="00640B53"/>
    <w:rsid w:val="0064657C"/>
    <w:rsid w:val="00660E98"/>
    <w:rsid w:val="00675523"/>
    <w:rsid w:val="006A2271"/>
    <w:rsid w:val="006A55F8"/>
    <w:rsid w:val="006D2B89"/>
    <w:rsid w:val="006F3E58"/>
    <w:rsid w:val="006F79AC"/>
    <w:rsid w:val="00746C86"/>
    <w:rsid w:val="00766AE3"/>
    <w:rsid w:val="00785CCF"/>
    <w:rsid w:val="00794BC8"/>
    <w:rsid w:val="007A387E"/>
    <w:rsid w:val="007C7660"/>
    <w:rsid w:val="007C798E"/>
    <w:rsid w:val="007E3DEB"/>
    <w:rsid w:val="008003F8"/>
    <w:rsid w:val="00830BF3"/>
    <w:rsid w:val="00856C92"/>
    <w:rsid w:val="00875F05"/>
    <w:rsid w:val="00902E15"/>
    <w:rsid w:val="00943DEF"/>
    <w:rsid w:val="00956B8E"/>
    <w:rsid w:val="0097094E"/>
    <w:rsid w:val="00992F82"/>
    <w:rsid w:val="009B3A84"/>
    <w:rsid w:val="009C6AB2"/>
    <w:rsid w:val="009E396C"/>
    <w:rsid w:val="009E608E"/>
    <w:rsid w:val="00A22AE6"/>
    <w:rsid w:val="00A35CF4"/>
    <w:rsid w:val="00A412E0"/>
    <w:rsid w:val="00A550FE"/>
    <w:rsid w:val="00A60728"/>
    <w:rsid w:val="00A7536B"/>
    <w:rsid w:val="00AB55C9"/>
    <w:rsid w:val="00AB71F5"/>
    <w:rsid w:val="00AD5D60"/>
    <w:rsid w:val="00B3103C"/>
    <w:rsid w:val="00B41F86"/>
    <w:rsid w:val="00B6685D"/>
    <w:rsid w:val="00B773C3"/>
    <w:rsid w:val="00B95ED9"/>
    <w:rsid w:val="00BD3117"/>
    <w:rsid w:val="00BF652C"/>
    <w:rsid w:val="00C65EF3"/>
    <w:rsid w:val="00C857DE"/>
    <w:rsid w:val="00CB37DB"/>
    <w:rsid w:val="00CC3055"/>
    <w:rsid w:val="00CD3217"/>
    <w:rsid w:val="00CD3D78"/>
    <w:rsid w:val="00D01659"/>
    <w:rsid w:val="00D43023"/>
    <w:rsid w:val="00D521ED"/>
    <w:rsid w:val="00DB1A5F"/>
    <w:rsid w:val="00DC15D8"/>
    <w:rsid w:val="00DE3CA7"/>
    <w:rsid w:val="00DF54D7"/>
    <w:rsid w:val="00E27217"/>
    <w:rsid w:val="00E32C64"/>
    <w:rsid w:val="00E34FE7"/>
    <w:rsid w:val="00E45DDB"/>
    <w:rsid w:val="00E4645B"/>
    <w:rsid w:val="00E52F1D"/>
    <w:rsid w:val="00EA6F35"/>
    <w:rsid w:val="00EF0044"/>
    <w:rsid w:val="00EF058A"/>
    <w:rsid w:val="00EF5E9F"/>
    <w:rsid w:val="00F01B5E"/>
    <w:rsid w:val="00F0583E"/>
    <w:rsid w:val="00FA6044"/>
    <w:rsid w:val="00FD75B4"/>
    <w:rsid w:val="233D315C"/>
    <w:rsid w:val="3F827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16"/>
    <w:uiPriority w:val="0"/>
    <w:rPr>
      <w:rFonts w:ascii="宋体"/>
      <w:sz w:val="18"/>
      <w:szCs w:val="18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28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spacing w:line="420" w:lineRule="exact"/>
      <w:ind w:firstLine="560" w:firstLineChars="200"/>
    </w:pPr>
    <w:rPr>
      <w:rFonts w:ascii="黑体" w:hAnsi="宋体" w:eastAsia="黑体"/>
      <w:sz w:val="2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Trebuchet MS" w:hAnsi="Trebuchet MS" w:cs="宋体"/>
      <w:kern w:val="0"/>
      <w:sz w:val="18"/>
      <w:szCs w:val="18"/>
    </w:rPr>
  </w:style>
  <w:style w:type="character" w:styleId="12">
    <w:name w:val="Strong"/>
    <w:basedOn w:val="11"/>
    <w:qFormat/>
    <w:uiPriority w:val="0"/>
    <w:rPr>
      <w:b/>
      <w:bCs/>
    </w:rPr>
  </w:style>
  <w:style w:type="character" w:customStyle="1" w:styleId="13">
    <w:name w:val="red1"/>
    <w:basedOn w:val="11"/>
    <w:uiPriority w:val="0"/>
    <w:rPr>
      <w:color w:val="E30202"/>
    </w:rPr>
  </w:style>
  <w:style w:type="character" w:customStyle="1" w:styleId="14">
    <w:name w:val="页眉 Char"/>
    <w:basedOn w:val="11"/>
    <w:link w:val="7"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6"/>
    <w:uiPriority w:val="0"/>
    <w:rPr>
      <w:kern w:val="2"/>
      <w:sz w:val="18"/>
      <w:szCs w:val="18"/>
    </w:rPr>
  </w:style>
  <w:style w:type="character" w:customStyle="1" w:styleId="16">
    <w:name w:val="文档结构图 Char"/>
    <w:basedOn w:val="11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239</Words>
  <Characters>1365</Characters>
  <Lines>11</Lines>
  <Paragraphs>3</Paragraphs>
  <TotalTime>0</TotalTime>
  <ScaleCrop>false</ScaleCrop>
  <LinksUpToDate>false</LinksUpToDate>
  <CharactersWithSpaces>1601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2009-10-19T16:21:00Z</dcterms:created>
  <dc:creator>YlmF</dc:creator>
  <cp:lastModifiedBy>vertesyuan</cp:lastModifiedBy>
  <cp:lastPrinted>2009-09-11T09:00:00Z</cp:lastPrinted>
  <dcterms:modified xsi:type="dcterms:W3CDTF">2021-12-08T08:12:22Z</dcterms:modified>
  <dc:title>研究生部研招字[2008]02号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