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bCs/>
          <w:sz w:val="36"/>
          <w:szCs w:val="36"/>
        </w:rPr>
      </w:pPr>
      <w:bookmarkStart w:id="0" w:name="_GoBack"/>
      <w:bookmarkEnd w:id="0"/>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r>
        <w:rPr>
          <w:rFonts w:hint="eastAsia" w:ascii="楷体_GB2312" w:hAnsi="宋体" w:eastAsia="楷体_GB2312"/>
          <w:bCs/>
          <w:sz w:val="36"/>
          <w:szCs w:val="36"/>
          <w:lang/>
        </w:rPr>
        <w:drawing>
          <wp:anchor distT="0" distB="0" distL="114300" distR="114300" simplePos="0" relativeHeight="251658240" behindDoc="1" locked="0" layoutInCell="1" allowOverlap="1">
            <wp:simplePos x="0" y="0"/>
            <wp:positionH relativeFrom="column">
              <wp:posOffset>1333500</wp:posOffset>
            </wp:positionH>
            <wp:positionV relativeFrom="paragraph">
              <wp:posOffset>180975</wp:posOffset>
            </wp:positionV>
            <wp:extent cx="2533650" cy="506730"/>
            <wp:effectExtent l="0" t="0" r="0" b="7620"/>
            <wp:wrapNone/>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pic:cNvPicPr>
                  </pic:nvPicPr>
                  <pic:blipFill>
                    <a:blip r:embed="rId5">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楷体_GB2312" w:hAnsi="宋体" w:eastAsia="楷体_GB2312"/>
          <w:bCs/>
          <w:sz w:val="36"/>
          <w:szCs w:val="36"/>
        </w:rPr>
      </w:pPr>
    </w:p>
    <w:p>
      <w:pPr>
        <w:jc w:val="center"/>
        <w:rPr>
          <w:rFonts w:hint="eastAsia" w:ascii="楷体_GB2312" w:hAnsi="宋体" w:eastAsia="楷体_GB2312"/>
          <w:bCs/>
          <w:sz w:val="44"/>
          <w:szCs w:val="44"/>
        </w:rPr>
      </w:pPr>
      <w:r>
        <w:rPr>
          <w:rFonts w:hint="eastAsia" w:ascii="黑体" w:eastAsia="黑体"/>
          <w:sz w:val="44"/>
          <w:szCs w:val="44"/>
        </w:rPr>
        <w:t>202</w:t>
      </w:r>
      <w:r>
        <w:rPr>
          <w:rFonts w:ascii="黑体" w:eastAsia="黑体"/>
          <w:sz w:val="44"/>
          <w:szCs w:val="44"/>
        </w:rPr>
        <w:t>2</w:t>
      </w:r>
      <w:r>
        <w:rPr>
          <w:rFonts w:hint="eastAsia" w:ascii="黑体" w:eastAsia="黑体"/>
          <w:sz w:val="44"/>
          <w:szCs w:val="44"/>
        </w:rPr>
        <w:t>年全国硕士研究生招生考试大纲</w:t>
      </w: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科目代码：814</w:t>
      </w:r>
    </w:p>
    <w:p>
      <w:pPr>
        <w:ind w:left="1260" w:leftChars="600"/>
        <w:rPr>
          <w:rFonts w:ascii="楷体_GB2312" w:hAnsi="宋体" w:eastAsia="楷体_GB2312"/>
          <w:sz w:val="30"/>
          <w:szCs w:val="30"/>
        </w:rPr>
      </w:pPr>
      <w:r>
        <w:rPr>
          <w:rFonts w:hint="eastAsia" w:ascii="楷体_GB2312" w:hAnsi="宋体" w:eastAsia="楷体_GB2312"/>
          <w:sz w:val="30"/>
          <w:szCs w:val="30"/>
        </w:rPr>
        <w:t>科目名称：经济学原理</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适用专业：</w:t>
      </w:r>
      <w:r>
        <w:rPr>
          <w:rFonts w:hint="eastAsia" w:ascii="楷体" w:hAnsi="楷体" w:eastAsia="楷体"/>
          <w:sz w:val="30"/>
          <w:szCs w:val="30"/>
        </w:rPr>
        <w:t>理论经济学一级学科各专业</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制订单位：沈阳师范大学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修订日期：202</w:t>
      </w:r>
      <w:r>
        <w:rPr>
          <w:rFonts w:ascii="楷体_GB2312" w:hAnsi="宋体" w:eastAsia="楷体_GB2312"/>
          <w:sz w:val="30"/>
          <w:szCs w:val="30"/>
        </w:rPr>
        <w:t>1</w:t>
      </w:r>
      <w:r>
        <w:rPr>
          <w:rFonts w:hint="eastAsia" w:ascii="楷体_GB2312" w:hAnsi="宋体" w:eastAsia="楷体_GB2312"/>
          <w:sz w:val="30"/>
          <w:szCs w:val="30"/>
        </w:rPr>
        <w:t>年</w:t>
      </w:r>
      <w:r>
        <w:rPr>
          <w:rFonts w:ascii="楷体_GB2312" w:hAnsi="宋体" w:eastAsia="楷体_GB2312"/>
          <w:sz w:val="30"/>
          <w:szCs w:val="30"/>
        </w:rPr>
        <w:t>8</w:t>
      </w:r>
      <w:r>
        <w:rPr>
          <w:rFonts w:hint="eastAsia" w:ascii="楷体_GB2312" w:hAnsi="宋体" w:eastAsia="楷体_GB2312"/>
          <w:sz w:val="30"/>
          <w:szCs w:val="30"/>
        </w:rPr>
        <w:t>月</w:t>
      </w: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r>
        <w:rPr>
          <w:rFonts w:hint="eastAsia" w:ascii="宋体"/>
          <w:b/>
          <w:sz w:val="32"/>
        </w:rPr>
        <w:t>《经济学原理》考试大纲</w:t>
      </w:r>
    </w:p>
    <w:p>
      <w:pPr>
        <w:jc w:val="center"/>
        <w:rPr>
          <w:rFonts w:hint="eastAsia" w:ascii="微软雅黑" w:hAnsi="微软雅黑" w:eastAsia="微软雅黑"/>
          <w:color w:val="000000"/>
          <w:sz w:val="16"/>
          <w:szCs w:val="16"/>
        </w:rPr>
      </w:pPr>
    </w:p>
    <w:p>
      <w:pPr>
        <w:spacing w:line="360" w:lineRule="auto"/>
        <w:ind w:firstLine="480" w:firstLineChars="200"/>
        <w:outlineLvl w:val="0"/>
        <w:rPr>
          <w:rFonts w:hint="eastAsia" w:ascii="宋体" w:hAnsi="宋体"/>
          <w:color w:val="000000"/>
          <w:sz w:val="24"/>
          <w:szCs w:val="24"/>
        </w:rPr>
      </w:pPr>
      <w:r>
        <w:rPr>
          <w:rFonts w:hint="eastAsia" w:ascii="宋体" w:hAnsi="宋体"/>
          <w:color w:val="000000"/>
          <w:sz w:val="24"/>
          <w:szCs w:val="24"/>
        </w:rPr>
        <w:t>一、考试性质</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经济学原理科目考试是为沈阳师范大学国际商学院政治经济学、西方经济学及世界经济专业招收硕士研究生而设置的具有选拔性质的入学考试科目，其目的是测试学生大学本科阶段学习的经济学基本知识的掌握情况，以及运用基本理论与方法分析与解决实际问题的能力。用以保证被录取者具有经济学的基本素养，并有利于其他高校、金融机构、企事业单位以及科研院所相关专业的择优选拔。</w:t>
      </w:r>
    </w:p>
    <w:p>
      <w:pPr>
        <w:spacing w:line="360" w:lineRule="auto"/>
        <w:ind w:firstLine="480" w:firstLineChars="200"/>
        <w:outlineLvl w:val="0"/>
        <w:rPr>
          <w:rFonts w:hint="eastAsia" w:ascii="宋体" w:hAnsi="宋体"/>
          <w:color w:val="000000"/>
          <w:sz w:val="24"/>
          <w:szCs w:val="24"/>
        </w:rPr>
      </w:pPr>
      <w:r>
        <w:rPr>
          <w:rFonts w:hint="eastAsia" w:ascii="宋体" w:hAnsi="宋体"/>
          <w:color w:val="000000"/>
          <w:sz w:val="24"/>
          <w:szCs w:val="24"/>
        </w:rPr>
        <w:t>二、考察目标及要求</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经济学原理考试涵盖西方经济学微观部分与宏观部分、博弈论等基本内容。要求考生：</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1.掌握微观经济学的基本名词、理论以及相关的计算问题，主要的理论包括：消费者行为理论、生产者行为理论、市场结构理论、均衡理论与市场失灵理论；</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2.掌握宏观经济学的基本名词、理论以及相关的政策问题，主要理论内容包括：经济指标核算、经济增长理论、经济发展理论、通货膨胀理论、失业理论、开放经济理论、总供给与总需求理论、宏观经济政策等；</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3.掌握博弈论基础问题：纳什均衡、基本博弈模型；</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4.了解与西方经济学相关的其他经济学理论与概念，包括：企业理论与交易成本概念、要素禀赋理论与国际贸易实质、劳动力市场与人力资本理论。</w:t>
      </w:r>
    </w:p>
    <w:p>
      <w:pPr>
        <w:spacing w:line="360" w:lineRule="auto"/>
        <w:ind w:firstLine="480" w:firstLineChars="200"/>
        <w:outlineLvl w:val="0"/>
        <w:rPr>
          <w:rFonts w:hint="eastAsia" w:ascii="宋体" w:hAnsi="宋体"/>
          <w:color w:val="000000"/>
          <w:sz w:val="24"/>
          <w:szCs w:val="24"/>
        </w:rPr>
      </w:pPr>
      <w:r>
        <w:rPr>
          <w:rFonts w:hint="eastAsia" w:ascii="宋体" w:hAnsi="宋体"/>
          <w:color w:val="000000"/>
          <w:sz w:val="24"/>
          <w:szCs w:val="24"/>
        </w:rPr>
        <w:t>三、考试形式及试卷结构</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1.试卷满分及考试时间</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本试卷满分为150分，考试时间为180分钟</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2.答题方式</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答题采取闭卷形式，统一进行笔试</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3.试卷内容及其结构</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名词解释30分，简答或画图题50分，论述题40分，计算或案例分析题30分。</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四、考试内容</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1.经济学的基本概念和基本原理；</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2.贸易的基本理论：绝对优势理论及其应用、比较优势理论及其应用；</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3.供给与需求：市场理论、弹性理论、政府对价格的控制和税收、效用理论、消费者剩余、生产者剩余、无差异曲线、预算约束线、消费者均衡、替代效应、收入效应、不确定性和风险；</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4.公共部门经济学：垄断、外部性、公共物品、公共资源、信息不完全和不对称、收入分配中的不平等等；</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5.一般均衡理论：一般均衡、竞争性均衡与经济效率、公平与效率；</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6.企业生产：企业类型及利润最大化目标、生产函数、短期生产函数、长期生产函数、短期成本函数、长期成本函数；</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7.市场结构理论：完全竞争市场、垄断竞争市场、寡头垄断市场、垄断市场、不同市场的比较、产品市场理论、要素市场理论、收入分配、企业面对各种市场的利润最大化生产量确定；</w:t>
      </w:r>
    </w:p>
    <w:p>
      <w:pPr>
        <w:spacing w:line="360" w:lineRule="auto"/>
        <w:ind w:firstLine="480" w:firstLineChars="200"/>
        <w:outlineLvl w:val="0"/>
        <w:rPr>
          <w:rFonts w:hint="eastAsia" w:ascii="宋体" w:hAnsi="宋体"/>
          <w:color w:val="000000"/>
          <w:sz w:val="24"/>
          <w:szCs w:val="24"/>
        </w:rPr>
      </w:pPr>
      <w:r>
        <w:rPr>
          <w:rFonts w:hint="eastAsia" w:ascii="宋体" w:hAnsi="宋体"/>
          <w:color w:val="000000"/>
          <w:sz w:val="24"/>
          <w:szCs w:val="24"/>
        </w:rPr>
        <w:t>8.博弈论：博弈模型、纳什均衡；</w:t>
      </w:r>
    </w:p>
    <w:p>
      <w:pPr>
        <w:spacing w:line="360" w:lineRule="auto"/>
        <w:ind w:firstLine="480" w:firstLineChars="200"/>
        <w:outlineLvl w:val="0"/>
        <w:rPr>
          <w:rFonts w:hint="eastAsia" w:ascii="宋体" w:hAnsi="宋体"/>
          <w:color w:val="000000"/>
          <w:sz w:val="24"/>
          <w:szCs w:val="24"/>
        </w:rPr>
      </w:pPr>
      <w:r>
        <w:rPr>
          <w:rFonts w:hint="eastAsia" w:ascii="宋体" w:hAnsi="宋体"/>
          <w:color w:val="000000"/>
          <w:sz w:val="24"/>
          <w:szCs w:val="24"/>
        </w:rPr>
        <w:t>9.宏观经济指标：GDP及其衡量，价格水平及其衡量、失业及其衡量、与基本指标相关的宏观经济问题等；</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10.经济增长理论；经济增长的描述和事实、经济增长的决定因素、新古典增长模型、内生增长理论、增长核算、促进经济增长的政策、基本金融工具、失业、货币与通货膨胀理论、菲利普斯曲线、经济周期；</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11.开放经济的宏观经济学：收入-支出模型、I</w:t>
      </w:r>
      <w:r>
        <w:rPr>
          <w:rFonts w:ascii="宋体" w:hAnsi="宋体"/>
          <w:color w:val="000000"/>
          <w:sz w:val="24"/>
          <w:szCs w:val="24"/>
        </w:rPr>
        <w:t>S-LM模型</w:t>
      </w:r>
      <w:r>
        <w:rPr>
          <w:rFonts w:hint="eastAsia" w:ascii="宋体" w:hAnsi="宋体"/>
          <w:color w:val="000000"/>
          <w:sz w:val="24"/>
          <w:szCs w:val="24"/>
        </w:rPr>
        <w:t>、A</w:t>
      </w:r>
      <w:r>
        <w:rPr>
          <w:rFonts w:ascii="宋体" w:hAnsi="宋体"/>
          <w:color w:val="000000"/>
          <w:sz w:val="24"/>
          <w:szCs w:val="24"/>
        </w:rPr>
        <w:t>D-AS模型</w:t>
      </w:r>
      <w:r>
        <w:rPr>
          <w:rFonts w:hint="eastAsia" w:ascii="宋体" w:hAnsi="宋体"/>
          <w:color w:val="000000"/>
          <w:sz w:val="24"/>
          <w:szCs w:val="24"/>
        </w:rPr>
        <w:t>、</w:t>
      </w:r>
      <w:r>
        <w:rPr>
          <w:rFonts w:hint="eastAsia" w:ascii="宋体" w:hAnsi="宋体"/>
          <w:sz w:val="24"/>
          <w:szCs w:val="24"/>
        </w:rPr>
        <w:t>国际收支、汇率、蒙代尔-弗莱明模型、固定汇率制下的政策效果、浮动汇率制下的政策效果</w:t>
      </w:r>
      <w:r>
        <w:rPr>
          <w:rFonts w:hint="eastAsia" w:ascii="宋体" w:hAnsi="宋体"/>
          <w:color w:val="000000"/>
          <w:sz w:val="24"/>
          <w:szCs w:val="24"/>
        </w:rPr>
        <w:t>、短期经济波动中的总需求与总供给；</w:t>
      </w:r>
    </w:p>
    <w:p>
      <w:pPr>
        <w:spacing w:line="360" w:lineRule="auto"/>
        <w:ind w:firstLine="480" w:firstLineChars="200"/>
        <w:rPr>
          <w:rFonts w:hint="eastAsia" w:ascii="宋体" w:hAnsi="宋体"/>
          <w:sz w:val="24"/>
          <w:szCs w:val="24"/>
        </w:rPr>
      </w:pPr>
      <w:r>
        <w:rPr>
          <w:rFonts w:hint="eastAsia" w:ascii="宋体" w:hAnsi="宋体"/>
          <w:sz w:val="24"/>
          <w:szCs w:val="24"/>
        </w:rPr>
        <w:t>12.</w:t>
      </w:r>
      <w:r>
        <w:rPr>
          <w:rFonts w:hint="eastAsia" w:ascii="宋体" w:hAnsi="宋体"/>
          <w:color w:val="000000"/>
          <w:sz w:val="24"/>
          <w:szCs w:val="24"/>
        </w:rPr>
        <w:t xml:space="preserve"> 宏观经济政策</w:t>
      </w:r>
      <w:r>
        <w:rPr>
          <w:rFonts w:hint="eastAsia" w:ascii="宋体" w:hAnsi="宋体"/>
          <w:sz w:val="24"/>
          <w:szCs w:val="24"/>
        </w:rPr>
        <w:t>：宏观经济政策目标、</w:t>
      </w:r>
      <w:r>
        <w:rPr>
          <w:rFonts w:hint="eastAsia" w:ascii="宋体" w:hAnsi="宋体"/>
          <w:color w:val="000000"/>
          <w:sz w:val="24"/>
          <w:szCs w:val="24"/>
        </w:rPr>
        <w:t>财政政策及其相关概念、货币政策及其相关概念、供给管理政策。</w:t>
      </w:r>
    </w:p>
    <w:p>
      <w:pPr>
        <w:spacing w:line="360" w:lineRule="auto"/>
        <w:ind w:firstLine="482" w:firstLineChars="200"/>
        <w:rPr>
          <w:rFonts w:hint="eastAsia" w:ascii="宋体" w:hAnsi="宋体"/>
          <w:b/>
          <w:sz w:val="24"/>
          <w:szCs w:val="24"/>
        </w:rPr>
      </w:pPr>
    </w:p>
    <w:p>
      <w:pPr>
        <w:spacing w:line="360" w:lineRule="auto"/>
        <w:ind w:firstLine="482" w:firstLineChars="200"/>
        <w:rPr>
          <w:rFonts w:hint="eastAsia" w:ascii="宋体" w:hAnsi="宋体"/>
          <w:b/>
          <w:sz w:val="24"/>
          <w:szCs w:val="24"/>
        </w:rPr>
      </w:pPr>
      <w:r>
        <w:rPr>
          <w:rFonts w:hint="eastAsia" w:ascii="宋体" w:hAnsi="宋体"/>
          <w:b/>
          <w:sz w:val="24"/>
          <w:szCs w:val="24"/>
        </w:rPr>
        <w:t>参考书目：</w:t>
      </w:r>
    </w:p>
    <w:p>
      <w:pPr>
        <w:spacing w:line="360" w:lineRule="auto"/>
        <w:ind w:firstLine="480" w:firstLineChars="200"/>
        <w:rPr>
          <w:rFonts w:ascii="宋体" w:hAnsi="宋体"/>
          <w:color w:val="333333"/>
          <w:sz w:val="24"/>
          <w:szCs w:val="24"/>
          <w:shd w:val="clear" w:color="auto" w:fill="FFFFFF"/>
        </w:rPr>
      </w:pPr>
      <w:r>
        <w:rPr>
          <w:rFonts w:hint="eastAsia" w:ascii="宋体" w:hAnsi="宋体"/>
          <w:color w:val="333333"/>
          <w:sz w:val="24"/>
          <w:szCs w:val="24"/>
          <w:shd w:val="clear" w:color="auto" w:fill="FFFFFF"/>
        </w:rPr>
        <w:t>1</w:t>
      </w:r>
      <w:r>
        <w:rPr>
          <w:rFonts w:ascii="宋体" w:hAnsi="宋体"/>
          <w:color w:val="333333"/>
          <w:sz w:val="24"/>
          <w:szCs w:val="24"/>
          <w:shd w:val="clear" w:color="auto" w:fill="FFFFFF"/>
        </w:rPr>
        <w:t xml:space="preserve">. </w:t>
      </w:r>
      <w:r>
        <w:rPr>
          <w:rFonts w:hint="eastAsia" w:ascii="宋体" w:hAnsi="宋体"/>
          <w:color w:val="333333"/>
          <w:sz w:val="24"/>
          <w:szCs w:val="24"/>
          <w:shd w:val="clear" w:color="auto" w:fill="FFFFFF"/>
        </w:rPr>
        <w:t>西方经济学（第二版）上册，《西方经济学》编写组.高等教育出版社、人民出版社，201</w:t>
      </w:r>
      <w:r>
        <w:rPr>
          <w:rFonts w:ascii="宋体" w:hAnsi="宋体"/>
          <w:color w:val="333333"/>
          <w:sz w:val="24"/>
          <w:szCs w:val="24"/>
          <w:shd w:val="clear" w:color="auto" w:fill="FFFFFF"/>
        </w:rPr>
        <w:t>9</w:t>
      </w:r>
      <w:r>
        <w:rPr>
          <w:rFonts w:hint="eastAsia" w:ascii="宋体" w:hAnsi="宋体"/>
          <w:color w:val="333333"/>
          <w:sz w:val="24"/>
          <w:szCs w:val="24"/>
          <w:shd w:val="clear" w:color="auto" w:fill="FFFFFF"/>
        </w:rPr>
        <w:t>年。</w:t>
      </w:r>
    </w:p>
    <w:p>
      <w:pPr>
        <w:spacing w:line="360" w:lineRule="auto"/>
        <w:ind w:firstLine="480" w:firstLineChars="200"/>
        <w:rPr>
          <w:rFonts w:hint="eastAsia" w:ascii="宋体" w:hAnsi="宋体"/>
          <w:color w:val="333333"/>
          <w:sz w:val="24"/>
          <w:szCs w:val="24"/>
          <w:shd w:val="clear" w:color="auto" w:fill="FFFFFF"/>
        </w:rPr>
      </w:pPr>
      <w:r>
        <w:rPr>
          <w:rFonts w:hint="eastAsia" w:ascii="宋体" w:hAnsi="宋体"/>
          <w:color w:val="333333"/>
          <w:sz w:val="24"/>
          <w:szCs w:val="24"/>
          <w:shd w:val="clear" w:color="auto" w:fill="FFFFFF"/>
        </w:rPr>
        <w:t>2</w:t>
      </w:r>
      <w:r>
        <w:rPr>
          <w:rFonts w:ascii="宋体" w:hAnsi="宋体"/>
          <w:color w:val="333333"/>
          <w:sz w:val="24"/>
          <w:szCs w:val="24"/>
          <w:shd w:val="clear" w:color="auto" w:fill="FFFFFF"/>
        </w:rPr>
        <w:t xml:space="preserve">. </w:t>
      </w:r>
      <w:r>
        <w:rPr>
          <w:rFonts w:hint="eastAsia" w:ascii="宋体" w:hAnsi="宋体"/>
          <w:color w:val="333333"/>
          <w:sz w:val="24"/>
          <w:szCs w:val="24"/>
          <w:shd w:val="clear" w:color="auto" w:fill="FFFFFF"/>
        </w:rPr>
        <w:t>西方经济学（第二版）下册，《西方经济学》编写组.高等教育出版社、人民出版社，201</w:t>
      </w:r>
      <w:r>
        <w:rPr>
          <w:rFonts w:ascii="宋体" w:hAnsi="宋体"/>
          <w:color w:val="333333"/>
          <w:sz w:val="24"/>
          <w:szCs w:val="24"/>
          <w:shd w:val="clear" w:color="auto" w:fill="FFFFFF"/>
        </w:rPr>
        <w:t>9</w:t>
      </w:r>
      <w:r>
        <w:rPr>
          <w:rFonts w:hint="eastAsia" w:ascii="宋体" w:hAnsi="宋体"/>
          <w:color w:val="333333"/>
          <w:sz w:val="24"/>
          <w:szCs w:val="24"/>
          <w:shd w:val="clear" w:color="auto" w:fill="FFFFFF"/>
        </w:rPr>
        <w:t>年。</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68"/>
    <w:rsid w:val="000148FC"/>
    <w:rsid w:val="00033D8D"/>
    <w:rsid w:val="0009656A"/>
    <w:rsid w:val="000A1081"/>
    <w:rsid w:val="00111D72"/>
    <w:rsid w:val="00160CE2"/>
    <w:rsid w:val="00181D00"/>
    <w:rsid w:val="001A3F60"/>
    <w:rsid w:val="001D0E96"/>
    <w:rsid w:val="0028711E"/>
    <w:rsid w:val="002A188B"/>
    <w:rsid w:val="002D61EB"/>
    <w:rsid w:val="002E13CC"/>
    <w:rsid w:val="002E3420"/>
    <w:rsid w:val="00355B25"/>
    <w:rsid w:val="00384126"/>
    <w:rsid w:val="00394F3D"/>
    <w:rsid w:val="003A2C1A"/>
    <w:rsid w:val="00411268"/>
    <w:rsid w:val="00455B57"/>
    <w:rsid w:val="00466E68"/>
    <w:rsid w:val="004E36B3"/>
    <w:rsid w:val="004F54E5"/>
    <w:rsid w:val="005238B9"/>
    <w:rsid w:val="00546687"/>
    <w:rsid w:val="0056072C"/>
    <w:rsid w:val="00626F12"/>
    <w:rsid w:val="00670509"/>
    <w:rsid w:val="006D69AF"/>
    <w:rsid w:val="006F3295"/>
    <w:rsid w:val="00712FA3"/>
    <w:rsid w:val="00746898"/>
    <w:rsid w:val="007614D3"/>
    <w:rsid w:val="00774DB2"/>
    <w:rsid w:val="007B2DBA"/>
    <w:rsid w:val="008108B7"/>
    <w:rsid w:val="0082365F"/>
    <w:rsid w:val="00860FC8"/>
    <w:rsid w:val="008E5AC4"/>
    <w:rsid w:val="009038EB"/>
    <w:rsid w:val="0094033A"/>
    <w:rsid w:val="00942C2B"/>
    <w:rsid w:val="00945BE1"/>
    <w:rsid w:val="00985A64"/>
    <w:rsid w:val="009D234D"/>
    <w:rsid w:val="009D3C74"/>
    <w:rsid w:val="00A433DC"/>
    <w:rsid w:val="00A6563B"/>
    <w:rsid w:val="00A8381D"/>
    <w:rsid w:val="00B0539B"/>
    <w:rsid w:val="00B55F4A"/>
    <w:rsid w:val="00B63157"/>
    <w:rsid w:val="00BB3855"/>
    <w:rsid w:val="00BF2761"/>
    <w:rsid w:val="00C0663F"/>
    <w:rsid w:val="00C171FD"/>
    <w:rsid w:val="00C56204"/>
    <w:rsid w:val="00C74B5D"/>
    <w:rsid w:val="00CE0C30"/>
    <w:rsid w:val="00CE3CAB"/>
    <w:rsid w:val="00CE6DB1"/>
    <w:rsid w:val="00D76783"/>
    <w:rsid w:val="00D82E78"/>
    <w:rsid w:val="00D86886"/>
    <w:rsid w:val="00DE3CFC"/>
    <w:rsid w:val="00E6398F"/>
    <w:rsid w:val="00E64312"/>
    <w:rsid w:val="00EE7D86"/>
    <w:rsid w:val="00F5260F"/>
    <w:rsid w:val="00F70A67"/>
    <w:rsid w:val="05251E27"/>
    <w:rsid w:val="3DB77DC0"/>
    <w:rsid w:val="46866D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7"/>
    <w:unhideWhenUsed/>
    <w:uiPriority w:val="99"/>
    <w:pPr>
      <w:tabs>
        <w:tab w:val="center" w:pos="4153"/>
        <w:tab w:val="right" w:pos="8306"/>
      </w:tabs>
      <w:snapToGrid w:val="0"/>
      <w:jc w:val="left"/>
    </w:pPr>
    <w:rPr>
      <w:kern w:val="0"/>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页脚 Char"/>
    <w:link w:val="3"/>
    <w:semiHidden/>
    <w:uiPriority w:val="99"/>
    <w:rPr>
      <w:sz w:val="18"/>
      <w:szCs w:val="18"/>
    </w:rPr>
  </w:style>
  <w:style w:type="character" w:customStyle="1" w:styleId="8">
    <w:name w:val="页眉 Char"/>
    <w:link w:val="4"/>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222</Words>
  <Characters>1266</Characters>
  <Lines>10</Lines>
  <Paragraphs>2</Paragraphs>
  <TotalTime>0</TotalTime>
  <ScaleCrop>false</ScaleCrop>
  <LinksUpToDate>false</LinksUpToDate>
  <CharactersWithSpaces>1486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2016-09-07T08:57:00Z</dcterms:created>
  <dc:creator>Windows7</dc:creator>
  <cp:lastModifiedBy>vertesyuan</cp:lastModifiedBy>
  <dcterms:modified xsi:type="dcterms:W3CDTF">2021-12-10T08:22:04Z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