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</w:rPr>
      </w:pPr>
      <w:bookmarkStart w:id="3" w:name="_GoBack"/>
      <w:bookmarkEnd w:id="3"/>
      <w:r>
        <w:rPr>
          <w:rFonts w:hint="eastAsia" w:ascii="宋体" w:hAnsi="宋体" w:cs="宋体"/>
          <w:b/>
          <w:sz w:val="32"/>
        </w:rPr>
        <w:t>《教育科学研究》考试大纲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适用专业：</w:t>
      </w:r>
      <w:r>
        <w:rPr>
          <w:b/>
          <w:bCs/>
          <w:sz w:val="32"/>
          <w:szCs w:val="32"/>
        </w:rPr>
        <w:t>0451</w:t>
      </w:r>
      <w:r>
        <w:rPr>
          <w:rFonts w:hint="eastAsia"/>
          <w:b/>
          <w:bCs/>
          <w:sz w:val="32"/>
          <w:szCs w:val="32"/>
        </w:rPr>
        <w:t>17</w:t>
      </w:r>
      <w:r>
        <w:rPr>
          <w:rFonts w:hint="eastAsia" w:ascii="Calibri" w:hAnsi="Calibri" w:cs="宋体"/>
          <w:b/>
          <w:bCs/>
          <w:sz w:val="32"/>
          <w:szCs w:val="32"/>
        </w:rPr>
        <w:t>科学与技术教育</w:t>
      </w:r>
    </w:p>
    <w:p>
      <w:pPr>
        <w:widowControl/>
        <w:spacing w:before="156" w:beforeLines="50" w:after="156" w:afterLines="50" w:line="360" w:lineRule="atLeast"/>
        <w:outlineLvl w:val="0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>Ⅰ、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考试性质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《教育科学研究方法》具备独立的逻辑框架和系统的知识体系，同时还具有较强的方法指导价值和实践操作意义，是一门集知识性与实践性于一体的实践应用型课程。</w:t>
      </w:r>
    </w:p>
    <w:p>
      <w:pPr>
        <w:widowControl/>
        <w:spacing w:before="156" w:beforeLines="50" w:after="156" w:afterLines="50" w:line="360" w:lineRule="auto"/>
        <w:outlineLvl w:val="0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>Ⅱ、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考查目标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考察学生的教育科研意识，学习者要了解教育科研的一般原理，基础知识，基本掌握教育科研方法的基本设计过程和一般步骤，能够使用一些基本的教育科研方法，初步具备进行教育科研的能力。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1.识记：记住教育科学研究方法的基本概念与基本原理。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2.理解：把握教育科学研究方法的方法论，初步开展研究选题、设计、实施和评价整体的研究设计，举例加以说明。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3.应用：能够运用教育科学研究方法的基本理论，分析教学过程中的实际问题，选择有针对性的研究方法，设计问题解决研究计划，撰写科学的调查报告或论文。</w:t>
      </w:r>
    </w:p>
    <w:p>
      <w:pPr>
        <w:widowControl/>
        <w:spacing w:before="156" w:beforeLines="50" w:after="156" w:afterLines="50" w:line="360" w:lineRule="auto"/>
        <w:outlineLvl w:val="0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>Ⅲ、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试卷结构说明</w:t>
      </w:r>
    </w:p>
    <w:p>
      <w:pPr>
        <w:widowControl/>
        <w:spacing w:line="360" w:lineRule="auto"/>
        <w:outlineLvl w:val="1"/>
        <w:rPr>
          <w:rFonts w:ascii="宋体"/>
          <w:b/>
          <w:bCs/>
          <w:color w:val="000000"/>
          <w:kern w:val="0"/>
          <w:sz w:val="24"/>
        </w:rPr>
      </w:pPr>
      <w:bookmarkStart w:id="0" w:name="_Toc26012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一、考试分数及时间</w:t>
      </w:r>
      <w:bookmarkEnd w:id="0"/>
    </w:p>
    <w:p>
      <w:pPr>
        <w:widowControl/>
        <w:spacing w:line="360" w:lineRule="auto"/>
        <w:outlineLvl w:val="1"/>
        <w:rPr>
          <w:rFonts w:ascii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本试卷满分为</w:t>
      </w:r>
      <w:r>
        <w:rPr>
          <w:rFonts w:ascii="宋体" w:hAnsi="宋体" w:cs="宋体"/>
          <w:color w:val="000000"/>
          <w:kern w:val="0"/>
          <w:sz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分，考试时间为</w:t>
      </w:r>
      <w:r>
        <w:rPr>
          <w:rFonts w:ascii="宋体" w:hAnsi="宋体" w:cs="宋体"/>
          <w:color w:val="000000"/>
          <w:kern w:val="0"/>
          <w:sz w:val="24"/>
        </w:rPr>
        <w:t>180</w:t>
      </w:r>
      <w:r>
        <w:rPr>
          <w:rFonts w:hint="eastAsia" w:ascii="宋体" w:hAnsi="宋体" w:cs="宋体"/>
          <w:color w:val="000000"/>
          <w:kern w:val="0"/>
          <w:sz w:val="24"/>
        </w:rPr>
        <w:t>分钟。</w:t>
      </w:r>
    </w:p>
    <w:p>
      <w:pPr>
        <w:widowControl/>
        <w:spacing w:line="360" w:lineRule="auto"/>
        <w:outlineLvl w:val="1"/>
        <w:rPr>
          <w:rFonts w:ascii="宋体"/>
          <w:b/>
          <w:bCs/>
          <w:color w:val="000000"/>
          <w:kern w:val="0"/>
          <w:sz w:val="24"/>
        </w:rPr>
      </w:pPr>
      <w:bookmarkStart w:id="1" w:name="_Toc17451"/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二、答题方式</w:t>
      </w:r>
      <w:r>
        <w:rPr>
          <w:rFonts w:ascii="宋体"/>
          <w:b/>
          <w:bCs/>
          <w:color w:val="000000"/>
          <w:kern w:val="0"/>
          <w:sz w:val="24"/>
        </w:rPr>
        <w:t> </w:t>
      </w:r>
      <w:bookmarkEnd w:id="1"/>
    </w:p>
    <w:p>
      <w:pPr>
        <w:widowControl/>
        <w:spacing w:line="360" w:lineRule="auto"/>
        <w:outlineLvl w:val="1"/>
        <w:rPr>
          <w:rFonts w:ascii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答题方式为闭卷、笔试。</w:t>
      </w:r>
      <w:r>
        <w:rPr>
          <w:rFonts w:ascii="宋体"/>
          <w:color w:val="000000"/>
          <w:kern w:val="0"/>
          <w:sz w:val="24"/>
        </w:rPr>
        <w:t> </w:t>
      </w:r>
    </w:p>
    <w:p>
      <w:pPr>
        <w:widowControl/>
        <w:spacing w:line="360" w:lineRule="auto"/>
        <w:outlineLvl w:val="1"/>
        <w:rPr>
          <w:rFonts w:ascii="宋体"/>
          <w:b/>
          <w:bCs/>
          <w:color w:val="000000"/>
          <w:kern w:val="0"/>
          <w:sz w:val="24"/>
        </w:rPr>
      </w:pPr>
      <w:bookmarkStart w:id="2" w:name="_Toc25421"/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三、试卷考查内容结构</w:t>
      </w:r>
      <w:r>
        <w:rPr>
          <w:rFonts w:ascii="宋体"/>
          <w:b/>
          <w:bCs/>
          <w:color w:val="000000"/>
          <w:kern w:val="0"/>
          <w:sz w:val="24"/>
        </w:rPr>
        <w:t> </w:t>
      </w:r>
      <w:bookmarkEnd w:id="2"/>
    </w:p>
    <w:p>
      <w:pPr>
        <w:widowControl/>
        <w:spacing w:line="360" w:lineRule="auto"/>
        <w:outlineLvl w:val="1"/>
        <w:rPr>
          <w:rFonts w:ascii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1.</w:t>
      </w:r>
      <w:r>
        <w:rPr>
          <w:rFonts w:hint="eastAsia" w:ascii="宋体" w:hAnsi="宋体" w:cs="宋体"/>
          <w:color w:val="000000"/>
          <w:kern w:val="0"/>
          <w:sz w:val="24"/>
        </w:rPr>
        <w:t>名词解释：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小题，每小题</w:t>
      </w: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</w:rPr>
        <w:t>分，共</w:t>
      </w:r>
      <w:r>
        <w:rPr>
          <w:rFonts w:ascii="宋体" w:hAnsi="宋体" w:cs="宋体"/>
          <w:color w:val="000000"/>
          <w:kern w:val="0"/>
          <w:sz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widowControl/>
        <w:spacing w:line="360" w:lineRule="auto"/>
        <w:outlineLvl w:val="1"/>
        <w:rPr>
          <w:rFonts w:ascii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2.</w:t>
      </w:r>
      <w:r>
        <w:rPr>
          <w:rFonts w:hint="eastAsia" w:ascii="宋体" w:hAnsi="宋体" w:cs="宋体"/>
          <w:color w:val="000000"/>
          <w:kern w:val="0"/>
          <w:sz w:val="24"/>
        </w:rPr>
        <w:t>简答题：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小题，每小题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分，共</w:t>
      </w:r>
      <w:r>
        <w:rPr>
          <w:rFonts w:ascii="宋体" w:hAnsi="宋体" w:cs="宋体"/>
          <w:color w:val="000000"/>
          <w:kern w:val="0"/>
          <w:sz w:val="24"/>
        </w:rPr>
        <w:t>40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widowControl/>
        <w:spacing w:line="360" w:lineRule="auto"/>
        <w:ind w:firstLine="465"/>
        <w:outlineLvl w:val="1"/>
        <w:rPr>
          <w:rFonts w:ascii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论述题：3小题，每小题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0分，共</w:t>
      </w:r>
      <w:r>
        <w:rPr>
          <w:rFonts w:ascii="宋体" w:hAnsi="宋体" w:cs="宋体"/>
          <w:color w:val="000000"/>
          <w:kern w:val="0"/>
          <w:sz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pStyle w:val="5"/>
        <w:shd w:val="clear" w:color="auto" w:fill="FFFFFF"/>
        <w:spacing w:after="270" w:line="330" w:lineRule="atLeast"/>
        <w:jc w:val="both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</w:t>
      </w:r>
      <w:r>
        <w:rPr>
          <w:rFonts w:hint="eastAsia"/>
          <w:b/>
          <w:bCs/>
          <w:color w:val="000000"/>
          <w:sz w:val="28"/>
          <w:szCs w:val="28"/>
        </w:rPr>
        <w:t>知识和能力的要求与范围</w:t>
      </w:r>
    </w:p>
    <w:p>
      <w:pPr>
        <w:spacing w:line="400" w:lineRule="exact"/>
        <w:ind w:firstLine="420" w:firstLineChars="175"/>
        <w:jc w:val="center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1.教育研究概述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教育研究的概念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教育研究的特征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教育研究的意义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>教育研究的一般过程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（5）</w:t>
      </w:r>
      <w:r>
        <w:rPr>
          <w:rFonts w:hint="eastAsia" w:ascii="宋体" w:hAnsi="宋体" w:cs="宋体"/>
          <w:sz w:val="24"/>
        </w:rPr>
        <w:t>教育研究的基本类型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2.教育研究选题与设计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 xml:space="preserve">教育研究课题的问题来源 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对教育研究选题的评价标准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选题策略</w:t>
      </w:r>
    </w:p>
    <w:p>
      <w:pPr>
        <w:spacing w:line="400" w:lineRule="exact"/>
        <w:ind w:firstLine="367" w:firstLineChars="17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 xml:space="preserve">研究方案设计   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3.文献检索与综述 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文献类型与作用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收集教育文献的原则、方法和途径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教育文献的检索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>文献综述的基本内容、结构与写法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（5）</w:t>
      </w:r>
      <w:r>
        <w:rPr>
          <w:rFonts w:hint="eastAsia" w:ascii="宋体" w:hAnsi="宋体" w:cs="宋体"/>
          <w:sz w:val="24"/>
        </w:rPr>
        <w:t>撰写文献综述应注意问题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4.教育调查研究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调查研究的主要步骤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问卷法的定义和类型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问卷的设计程序和优缺点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>访谈法的定义和类型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（5）</w:t>
      </w:r>
      <w:r>
        <w:rPr>
          <w:rFonts w:hint="eastAsia" w:ascii="宋体" w:hAnsi="宋体" w:cs="宋体"/>
          <w:sz w:val="24"/>
        </w:rPr>
        <w:t>访谈法的要求与技巧和优缺点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（6）</w:t>
      </w:r>
      <w:r>
        <w:rPr>
          <w:rFonts w:hint="eastAsia" w:ascii="宋体" w:hAnsi="宋体" w:cs="宋体"/>
          <w:sz w:val="24"/>
        </w:rPr>
        <w:t>观察法的定义和类型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（7）</w:t>
      </w:r>
      <w:r>
        <w:rPr>
          <w:rFonts w:hint="eastAsia" w:ascii="宋体" w:hAnsi="宋体" w:cs="宋体"/>
          <w:sz w:val="24"/>
        </w:rPr>
        <w:t>观察法的步骤、技巧和优缺点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5.教育行动研究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教育行动研究的概念、特征与意义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教育行动研究的一般程序</w:t>
      </w:r>
    </w:p>
    <w:p>
      <w:pPr>
        <w:spacing w:line="400" w:lineRule="exact"/>
        <w:ind w:firstLine="367" w:firstLineChars="17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 xml:space="preserve">教育行动研究的优点及适用范围   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6.教育统计与教育测验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变量与变量的种类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描述统计与推断统计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测验信度与效度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7.教育实验研究 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>教育实验的特征、功能与局限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教育实验选题与实验假设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教育实验的变量选择、测量和控制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>教育实验的类型和设计</w:t>
      </w:r>
    </w:p>
    <w:p>
      <w:pPr>
        <w:spacing w:line="400" w:lineRule="exact"/>
        <w:ind w:firstLine="422" w:firstLineChars="175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8.教育研究成果表述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（1）</w:t>
      </w:r>
      <w:r>
        <w:rPr>
          <w:rFonts w:hint="eastAsia" w:ascii="宋体" w:hAnsi="宋体" w:cs="宋体"/>
          <w:sz w:val="24"/>
        </w:rPr>
        <w:t xml:space="preserve">教育研究成果表述的目的 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（2）</w:t>
      </w:r>
      <w:r>
        <w:rPr>
          <w:rFonts w:hint="eastAsia" w:ascii="宋体" w:hAnsi="宋体" w:cs="宋体"/>
          <w:sz w:val="24"/>
        </w:rPr>
        <w:t>教育研究成果的主要类型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（3）</w:t>
      </w:r>
      <w:r>
        <w:rPr>
          <w:rFonts w:hint="eastAsia" w:ascii="宋体" w:hAnsi="宋体" w:cs="宋体"/>
          <w:sz w:val="24"/>
        </w:rPr>
        <w:t>教育研究成果的撰写</w:t>
      </w:r>
    </w:p>
    <w:p>
      <w:pPr>
        <w:spacing w:line="400" w:lineRule="exact"/>
        <w:ind w:firstLine="367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（4）</w:t>
      </w:r>
      <w:r>
        <w:rPr>
          <w:rFonts w:hint="eastAsia" w:ascii="宋体" w:hAnsi="宋体" w:cs="宋体"/>
          <w:sz w:val="24"/>
        </w:rPr>
        <w:t xml:space="preserve">教育研究成果表述通行规范    </w:t>
      </w: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参考书目：</w:t>
      </w:r>
    </w:p>
    <w:p>
      <w:pPr>
        <w:spacing w:line="400" w:lineRule="exact"/>
        <w:ind w:firstLine="218" w:firstLineChars="91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温忠麟. 教育研究方法基础</w:t>
      </w: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第3版</w:t>
      </w:r>
      <w:r>
        <w:rPr>
          <w:rFonts w:hint="eastAsia" w:ascii="宋体" w:hAnsi="宋体" w:cs="宋体"/>
          <w:sz w:val="24"/>
        </w:rPr>
        <w:t>）</w:t>
      </w:r>
      <w:r>
        <w:rPr>
          <w:rFonts w:ascii="宋体" w:hAnsi="宋体" w:cs="宋体"/>
          <w:sz w:val="24"/>
        </w:rPr>
        <w:t>[M]. 高等教育出版社, 2017.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8"/>
    <w:rsid w:val="0000297F"/>
    <w:rsid w:val="00007F59"/>
    <w:rsid w:val="00061B09"/>
    <w:rsid w:val="00063285"/>
    <w:rsid w:val="000746FF"/>
    <w:rsid w:val="00087B27"/>
    <w:rsid w:val="000C26D0"/>
    <w:rsid w:val="000E7810"/>
    <w:rsid w:val="001D0581"/>
    <w:rsid w:val="001D274F"/>
    <w:rsid w:val="001F566C"/>
    <w:rsid w:val="00246DFE"/>
    <w:rsid w:val="00254946"/>
    <w:rsid w:val="002B11F4"/>
    <w:rsid w:val="002E7898"/>
    <w:rsid w:val="002F16E1"/>
    <w:rsid w:val="003B2C96"/>
    <w:rsid w:val="00411670"/>
    <w:rsid w:val="00434118"/>
    <w:rsid w:val="004423FE"/>
    <w:rsid w:val="00455727"/>
    <w:rsid w:val="0047506B"/>
    <w:rsid w:val="004813D6"/>
    <w:rsid w:val="005B4687"/>
    <w:rsid w:val="005C3F55"/>
    <w:rsid w:val="005F75DF"/>
    <w:rsid w:val="00613F14"/>
    <w:rsid w:val="006217E6"/>
    <w:rsid w:val="006371D6"/>
    <w:rsid w:val="00654A5A"/>
    <w:rsid w:val="006B2DDF"/>
    <w:rsid w:val="006C006A"/>
    <w:rsid w:val="006E43D5"/>
    <w:rsid w:val="00716C0C"/>
    <w:rsid w:val="007258DB"/>
    <w:rsid w:val="007A0AB3"/>
    <w:rsid w:val="007A67E4"/>
    <w:rsid w:val="008113AA"/>
    <w:rsid w:val="00860654"/>
    <w:rsid w:val="008859B9"/>
    <w:rsid w:val="00894F5D"/>
    <w:rsid w:val="008B4BA5"/>
    <w:rsid w:val="008D08FE"/>
    <w:rsid w:val="00942DC8"/>
    <w:rsid w:val="009768F4"/>
    <w:rsid w:val="0098454F"/>
    <w:rsid w:val="009A1621"/>
    <w:rsid w:val="00A2438C"/>
    <w:rsid w:val="00A36127"/>
    <w:rsid w:val="00A641A7"/>
    <w:rsid w:val="00A777B9"/>
    <w:rsid w:val="00A879D9"/>
    <w:rsid w:val="00A95596"/>
    <w:rsid w:val="00B339AB"/>
    <w:rsid w:val="00B3777C"/>
    <w:rsid w:val="00B55278"/>
    <w:rsid w:val="00BA3F55"/>
    <w:rsid w:val="00BB3336"/>
    <w:rsid w:val="00BE4C0B"/>
    <w:rsid w:val="00BF20C9"/>
    <w:rsid w:val="00C0383D"/>
    <w:rsid w:val="00C4183D"/>
    <w:rsid w:val="00C4332B"/>
    <w:rsid w:val="00C60C66"/>
    <w:rsid w:val="00CB4BA2"/>
    <w:rsid w:val="00D05CB5"/>
    <w:rsid w:val="00D3635A"/>
    <w:rsid w:val="00D41BE0"/>
    <w:rsid w:val="00D521D8"/>
    <w:rsid w:val="00D567BF"/>
    <w:rsid w:val="00D72D17"/>
    <w:rsid w:val="00D91300"/>
    <w:rsid w:val="00DD7264"/>
    <w:rsid w:val="00E4173F"/>
    <w:rsid w:val="00E53D79"/>
    <w:rsid w:val="00EA3D6A"/>
    <w:rsid w:val="00EC7022"/>
    <w:rsid w:val="00EC70F2"/>
    <w:rsid w:val="00ED14BA"/>
    <w:rsid w:val="00F36F4D"/>
    <w:rsid w:val="00F527A2"/>
    <w:rsid w:val="08B00A2B"/>
    <w:rsid w:val="1B89567D"/>
    <w:rsid w:val="1F0C536F"/>
    <w:rsid w:val="2CD16758"/>
    <w:rsid w:val="2DD90A5D"/>
    <w:rsid w:val="38935D51"/>
    <w:rsid w:val="41E95342"/>
    <w:rsid w:val="43EF0DD0"/>
    <w:rsid w:val="44B645E7"/>
    <w:rsid w:val="47186DAB"/>
    <w:rsid w:val="51A01AED"/>
    <w:rsid w:val="570602EC"/>
    <w:rsid w:val="5B2153A5"/>
    <w:rsid w:val="66881A12"/>
    <w:rsid w:val="6C715037"/>
    <w:rsid w:val="6CFB5553"/>
    <w:rsid w:val="71A44727"/>
    <w:rsid w:val="743119E4"/>
    <w:rsid w:val="74F53BFB"/>
    <w:rsid w:val="7C931655"/>
    <w:rsid w:val="7F8F7845"/>
    <w:rsid w:val="7FAF7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apple-converted-space"/>
    <w:uiPriority w:val="0"/>
  </w:style>
  <w:style w:type="character" w:customStyle="1" w:styleId="11">
    <w:name w:val="页脚 字符"/>
    <w:link w:val="3"/>
    <w:uiPriority w:val="0"/>
    <w:rPr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kern w:val="2"/>
      <w:sz w:val="18"/>
      <w:szCs w:val="18"/>
    </w:rPr>
  </w:style>
  <w:style w:type="character" w:customStyle="1" w:styleId="13">
    <w:name w:val="HTML 预设格式 Char"/>
    <w:link w:val="5"/>
    <w:qFormat/>
    <w:locked/>
    <w:uiPriority w:val="99"/>
    <w:rPr>
      <w:rFonts w:ascii="宋体" w:cs="宋体"/>
      <w:sz w:val="24"/>
      <w:szCs w:val="24"/>
    </w:rPr>
  </w:style>
  <w:style w:type="character" w:customStyle="1" w:styleId="14">
    <w:name w:val="HTML 预设格式 Char1"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2021-09-09T23:58:00Z</dcterms:created>
  <dc:creator>Windows 用户</dc:creator>
  <cp:lastModifiedBy>vertesyuan</cp:lastModifiedBy>
  <cp:lastPrinted>2017-09-15T06:50:00Z</cp:lastPrinted>
  <dcterms:modified xsi:type="dcterms:W3CDTF">2021-12-10T06:41:43Z</dcterms:modified>
  <dc:title>第一章 绪论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