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ascii="黑体" w:eastAsia="黑体"/>
          <w:sz w:val="44"/>
          <w:szCs w:val="44"/>
        </w:rPr>
        <w:t>2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科目代码：437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科目名称：社会工作实务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适用专业：社会工作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</w:t>
      </w:r>
      <w:r>
        <w:rPr>
          <w:rFonts w:ascii="楷体_GB2312" w:hAnsi="宋体" w:eastAsia="楷体_GB2312"/>
          <w:sz w:val="30"/>
          <w:szCs w:val="30"/>
        </w:rPr>
        <w:t>21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widowControl/>
        <w:outlineLvl w:val="0"/>
        <w:rPr>
          <w:rFonts w:ascii="Tahoma" w:hAnsi="Tahoma" w:cs="Tahoma"/>
          <w:b/>
          <w:bCs/>
          <w:color w:val="000000"/>
          <w:kern w:val="36"/>
          <w:sz w:val="32"/>
          <w:szCs w:val="32"/>
        </w:rPr>
      </w:pPr>
    </w:p>
    <w:p>
      <w:pPr>
        <w:widowControl/>
        <w:spacing w:line="326" w:lineRule="atLeas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《社会工作实务》考试大纲</w:t>
      </w:r>
    </w:p>
    <w:p>
      <w:pPr>
        <w:spacing w:line="340" w:lineRule="exac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一、考试要求</w:t>
      </w:r>
    </w:p>
    <w:p>
      <w:pPr>
        <w:widowControl/>
        <w:wordWrap w:val="0"/>
        <w:spacing w:line="384" w:lineRule="auto"/>
        <w:ind w:firstLine="480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要求考生了解社会工作实务的意义，了解个案工作、小组工作、社区工作等实务方法的涵义与适用范围，了解实务方法的各种工作模式及工作技巧，了解社会行政、社会政策的内容、基本理论与方法。</w:t>
      </w:r>
    </w:p>
    <w:p>
      <w:pPr>
        <w:widowControl/>
        <w:wordWrap w:val="0"/>
        <w:spacing w:line="384" w:lineRule="auto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宋体" w:hAnsi="宋体"/>
          <w:b/>
          <w:sz w:val="24"/>
        </w:rPr>
        <w:t>二、</w:t>
      </w:r>
      <w:r>
        <w:rPr>
          <w:rFonts w:ascii="宋体" w:hAnsi="宋体"/>
          <w:b/>
          <w:sz w:val="24"/>
        </w:rPr>
        <w:t>知识和能力的要求与范围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(一)个案工作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1.个案工作的涵义与特点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2.个案工作的理论与主要模式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3.个案工作的原则和技巧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4.个案管理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(二)小组工作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1.小组工作的涵义与特点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2.小组工作的理论和主要模式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3.小组工作的发展阶段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4.小组工作的原则与技巧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(三)社区工作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1.社区工作的涵义与特点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2.社区工作的主要模式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3.社区工作的技巧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4.我国的社区工作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(四）社会行政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1.社会行政的涵义与功能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2.社会行政的内容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3.社会服务评估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（五）社会政策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1.社会政策的含义与类型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2.社会政策的基本理论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3.社会政策的制定与实施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 xml:space="preserve">　　4.我国的主要社会政策 </w:t>
      </w:r>
    </w:p>
    <w:p>
      <w:pPr>
        <w:widowControl/>
        <w:wordWrap w:val="0"/>
        <w:spacing w:line="384" w:lineRule="auto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（六)社会工作研究</w:t>
      </w:r>
    </w:p>
    <w:p>
      <w:pPr>
        <w:widowControl/>
        <w:wordWrap w:val="0"/>
        <w:spacing w:line="384" w:lineRule="auto"/>
        <w:ind w:firstLine="480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 xml:space="preserve">1.社会工作研究的范式     </w:t>
      </w:r>
      <w:r>
        <w:rPr>
          <w:rFonts w:hint="eastAsia" w:ascii="Tahoma" w:hAnsi="Tahoma" w:cs="Tahoma"/>
          <w:color w:val="000000"/>
          <w:kern w:val="0"/>
          <w:sz w:val="24"/>
        </w:rPr>
        <w:br w:type="textWrapping"/>
      </w:r>
      <w:r>
        <w:rPr>
          <w:rFonts w:hint="eastAsia" w:ascii="Tahoma" w:hAnsi="Tahoma" w:cs="Tahoma"/>
          <w:color w:val="000000"/>
          <w:kern w:val="0"/>
          <w:sz w:val="24"/>
        </w:rPr>
        <w:t>　　2.定量研究的主要方法　　</w:t>
      </w:r>
    </w:p>
    <w:p>
      <w:pPr>
        <w:widowControl/>
        <w:wordWrap w:val="0"/>
        <w:spacing w:line="384" w:lineRule="auto"/>
        <w:ind w:firstLine="480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3.定性研究的主要方法</w:t>
      </w:r>
    </w:p>
    <w:p>
      <w:pPr>
        <w:spacing w:line="34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三、试卷结构</w:t>
      </w:r>
    </w:p>
    <w:p>
      <w:pPr>
        <w:widowControl/>
        <w:wordWrap w:val="0"/>
        <w:spacing w:line="384" w:lineRule="auto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(一)名词解释</w:t>
      </w:r>
    </w:p>
    <w:p>
      <w:pPr>
        <w:widowControl/>
        <w:wordWrap w:val="0"/>
        <w:spacing w:line="384" w:lineRule="auto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(二)简答题</w:t>
      </w:r>
    </w:p>
    <w:p>
      <w:pPr>
        <w:widowControl/>
        <w:wordWrap w:val="0"/>
        <w:spacing w:line="384" w:lineRule="auto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(三)论述题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参考书目</w:t>
      </w:r>
    </w:p>
    <w:p>
      <w:pPr>
        <w:widowControl/>
        <w:wordWrap w:val="0"/>
        <w:spacing w:line="384" w:lineRule="auto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Tahoma" w:hAnsi="Tahoma" w:cs="Tahoma"/>
          <w:color w:val="000000"/>
          <w:kern w:val="0"/>
          <w:sz w:val="24"/>
        </w:rPr>
        <w:t>《社会工作实务》（中级）全国社会工作者职业水平考试指导指导教材，中国社会出版社2020年版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E"/>
    <w:rsid w:val="000033DC"/>
    <w:rsid w:val="00053890"/>
    <w:rsid w:val="00180BFD"/>
    <w:rsid w:val="00272511"/>
    <w:rsid w:val="002854FF"/>
    <w:rsid w:val="002C06FC"/>
    <w:rsid w:val="0030771D"/>
    <w:rsid w:val="003F1AE7"/>
    <w:rsid w:val="00421B4E"/>
    <w:rsid w:val="00495E9E"/>
    <w:rsid w:val="004D1035"/>
    <w:rsid w:val="00584075"/>
    <w:rsid w:val="005A079A"/>
    <w:rsid w:val="0068318B"/>
    <w:rsid w:val="006E7446"/>
    <w:rsid w:val="007B0E8D"/>
    <w:rsid w:val="008110B2"/>
    <w:rsid w:val="008C384E"/>
    <w:rsid w:val="00951439"/>
    <w:rsid w:val="00AF1782"/>
    <w:rsid w:val="00B15A0C"/>
    <w:rsid w:val="00B15A1A"/>
    <w:rsid w:val="00B607E5"/>
    <w:rsid w:val="00B74D22"/>
    <w:rsid w:val="00C2590E"/>
    <w:rsid w:val="00C46331"/>
    <w:rsid w:val="00CC7E1B"/>
    <w:rsid w:val="00D22AE7"/>
    <w:rsid w:val="00D64A65"/>
    <w:rsid w:val="00DB3FBB"/>
    <w:rsid w:val="00E777D3"/>
    <w:rsid w:val="00EB03DE"/>
    <w:rsid w:val="00F16D94"/>
    <w:rsid w:val="00F4301D"/>
    <w:rsid w:val="00FA331A"/>
    <w:rsid w:val="00FA3AAA"/>
    <w:rsid w:val="00FC1260"/>
    <w:rsid w:val="00FE383E"/>
    <w:rsid w:val="01194E10"/>
    <w:rsid w:val="03736B3B"/>
    <w:rsid w:val="03F91983"/>
    <w:rsid w:val="143C7C46"/>
    <w:rsid w:val="169C64AC"/>
    <w:rsid w:val="16F378B6"/>
    <w:rsid w:val="173317EB"/>
    <w:rsid w:val="1E516232"/>
    <w:rsid w:val="24454380"/>
    <w:rsid w:val="303A141F"/>
    <w:rsid w:val="32090C46"/>
    <w:rsid w:val="387F1AE0"/>
    <w:rsid w:val="3F322A4F"/>
    <w:rsid w:val="447B6C6E"/>
    <w:rsid w:val="47607AF2"/>
    <w:rsid w:val="4E752CCC"/>
    <w:rsid w:val="4FA3689D"/>
    <w:rsid w:val="5D3632C5"/>
    <w:rsid w:val="6178751E"/>
    <w:rsid w:val="717F1134"/>
    <w:rsid w:val="7B4B3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jc w:val="left"/>
      <w:outlineLvl w:val="0"/>
    </w:pPr>
    <w:rPr>
      <w:rFonts w:ascii="宋体" w:hAnsi="宋体" w:cs="宋体"/>
      <w:kern w:val="36"/>
      <w:sz w:val="18"/>
      <w:szCs w:val="1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449BE"/>
      <w:u w:val="single"/>
    </w:rPr>
  </w:style>
  <w:style w:type="paragraph" w:customStyle="1" w:styleId="9">
    <w:name w:val="f4o0l8s8h5c41"/>
    <w:basedOn w:val="1"/>
    <w:uiPriority w:val="0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vanish/>
      <w:color w:val="FFFFFF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2010-07-24T11:31:00Z</dcterms:created>
  <dc:creator>惠普用户</dc:creator>
  <cp:lastModifiedBy>vertesyuan</cp:lastModifiedBy>
  <dcterms:modified xsi:type="dcterms:W3CDTF">2021-12-10T06:40:26Z</dcterms:modified>
  <dc:title>社会工作专业硕士专业课考试大纲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