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二○一九年硕士研究生入学考试自命题试卷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502      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城市规划设计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设计题目：</w:t>
            </w:r>
          </w:p>
          <w:p>
            <w:pPr>
              <w:spacing w:line="400" w:lineRule="exact"/>
              <w:ind w:left="432"/>
              <w:rPr>
                <w:rFonts w:hint="eastAsia"/>
              </w:rPr>
            </w:pPr>
            <w:r>
              <w:rPr>
                <w:rFonts w:hint="eastAsia"/>
              </w:rPr>
              <w:t>城市中心区规划设计（6小时快题）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项目简介：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基地位于北方某大城市历史地段南侧，东临滨河路，南侧为现状城市商业中心区，基地现状东北角有明国时期院落一处（历史建筑），古树一株。规划拟将地块开发建设为集文化休闲、主题餐饮、民俗展览、酒店群、公寓、创意办公、大型购物广场、配套</w:t>
            </w:r>
            <w:r>
              <w:t>住宅</w:t>
            </w:r>
            <w:r>
              <w:rPr>
                <w:rFonts w:hint="eastAsia"/>
              </w:rPr>
              <w:t>等功能于一体的综合文化休闲生活区。</w:t>
            </w:r>
          </w:p>
          <w:p>
            <w:pPr>
              <w:spacing w:line="400" w:lineRule="exac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三、用地规模：</w:t>
            </w:r>
            <w:r>
              <w:rPr>
                <w:rFonts w:ascii="Calibri" w:hAnsi="Calibri"/>
                <w:szCs w:val="22"/>
              </w:rPr>
              <w:t>156811</w:t>
            </w:r>
            <w:r>
              <w:rPr>
                <w:rFonts w:hint="eastAsia" w:ascii="Calibri" w:hAnsi="Calibri"/>
                <w:szCs w:val="22"/>
              </w:rPr>
              <w:t>平方米。</w:t>
            </w:r>
            <w:r>
              <w:rPr>
                <w:rFonts w:hint="eastAsia"/>
              </w:rPr>
              <w:t>（规划基地详见附图）</w:t>
            </w:r>
          </w:p>
          <w:p>
            <w:pPr>
              <w:spacing w:line="400" w:lineRule="exac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四、用地性质：商业用地（B），兼容30%居住（R2）。</w:t>
            </w:r>
          </w:p>
          <w:p>
            <w:pPr>
              <w:spacing w:line="400" w:lineRule="exac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五、用地开发强度：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1、容积率：≤2.0；＞1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2、建筑密度：＜</w:t>
            </w: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/>
                <w:szCs w:val="22"/>
              </w:rPr>
              <w:t>0%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3、绿地率：＞</w:t>
            </w:r>
            <w:r>
              <w:rPr>
                <w:rFonts w:ascii="Calibri" w:hAnsi="Calibri"/>
                <w:szCs w:val="22"/>
              </w:rPr>
              <w:t>20</w:t>
            </w:r>
            <w:r>
              <w:rPr>
                <w:rFonts w:hint="eastAsia" w:ascii="Calibri" w:hAnsi="Calibri"/>
                <w:szCs w:val="22"/>
              </w:rPr>
              <w:t>%</w:t>
            </w:r>
          </w:p>
          <w:p>
            <w:pPr>
              <w:spacing w:line="400" w:lineRule="exac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六、规划设计要求：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1、建筑退线：滨河西路、轩辕街退道路红线多层≥10米，高层≥15米；其他两侧退道路红线≥5米。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2、建筑限高：≤45米。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3、停车位：机动车≥0.5个/100平方米；非机动车停车位≥2个/100平方米。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4、兼容住宅建设要求：多层日照间距≥1：1.7；高层日照间距≥1:1.0，且不小于40米。公共配套需满足国家相关规范要求。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5、公共活动空间配建要求：规划不少于3000平方米的街头绿地公园一处。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6、其他要求：各功能板块规模自定；轩辕路一侧预留地铁站点一处。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七、成果要求：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1、规划总平面图（1:1000）（标明主要建筑和设施名称、各类建筑层数)；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2、规划分析图（规划结构、道路系统、景观系统等分析图）；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3、鸟瞰图（不小于 A3 图幅）；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4、规划设计说明、经济技术指标等。</w:t>
            </w: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lang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388620</wp:posOffset>
                  </wp:positionV>
                  <wp:extent cx="5172710" cy="6967220"/>
                  <wp:effectExtent l="0" t="0" r="8890" b="5080"/>
                  <wp:wrapSquare wrapText="bothSides"/>
                  <wp:docPr id="1" name="图片 3" descr="学校地块-2018g-Mode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学校地块-2018g-Model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10" cy="696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八、</w:t>
            </w:r>
            <w:r>
              <w:rPr>
                <w:rFonts w:hint="eastAsia" w:ascii="宋体" w:hAnsi="宋体"/>
                <w:szCs w:val="21"/>
              </w:rPr>
              <w:t>附图</w:t>
            </w: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注：图中未标尺寸，不要求精确定位。</w:t>
            </w: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pgSz w:w="11057" w:h="15309"/>
      <w:pgMar w:top="1134" w:right="1189" w:bottom="1134" w:left="1304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1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866"/>
    <w:multiLevelType w:val="multilevel"/>
    <w:tmpl w:val="49341866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BZOvhTY8/owwyG45X+SoFWSogDI=" w:salt="kRmOLn2z+VtC1A7LDaOo6A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0D0"/>
    <w:rsid w:val="00071079"/>
    <w:rsid w:val="000C7265"/>
    <w:rsid w:val="0010725E"/>
    <w:rsid w:val="0013278B"/>
    <w:rsid w:val="0014633C"/>
    <w:rsid w:val="00233492"/>
    <w:rsid w:val="00256768"/>
    <w:rsid w:val="002E1FCF"/>
    <w:rsid w:val="003417AC"/>
    <w:rsid w:val="003E5755"/>
    <w:rsid w:val="00510F2E"/>
    <w:rsid w:val="006A1753"/>
    <w:rsid w:val="00767BD4"/>
    <w:rsid w:val="007778B8"/>
    <w:rsid w:val="007F11F7"/>
    <w:rsid w:val="009757FD"/>
    <w:rsid w:val="009B2943"/>
    <w:rsid w:val="00AF3CCD"/>
    <w:rsid w:val="00B10B3A"/>
    <w:rsid w:val="00B562A0"/>
    <w:rsid w:val="00B77ECA"/>
    <w:rsid w:val="00BC348B"/>
    <w:rsid w:val="00C60209"/>
    <w:rsid w:val="00CD1C6C"/>
    <w:rsid w:val="00D569AC"/>
    <w:rsid w:val="00E054A4"/>
    <w:rsid w:val="00E7104D"/>
    <w:rsid w:val="00E97084"/>
    <w:rsid w:val="00EB0097"/>
    <w:rsid w:val="00EE104A"/>
    <w:rsid w:val="00F94C54"/>
    <w:rsid w:val="00FA602B"/>
    <w:rsid w:val="07790E66"/>
    <w:rsid w:val="13A01E8F"/>
    <w:rsid w:val="178124D3"/>
    <w:rsid w:val="29EE137D"/>
    <w:rsid w:val="2CE60414"/>
    <w:rsid w:val="41330F81"/>
    <w:rsid w:val="5F611CFF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2018-12-02T16:43:00Z</dcterms:created>
  <dc:creator>ljy</dc:creator>
  <cp:lastModifiedBy>vertesyuan</cp:lastModifiedBy>
  <cp:lastPrinted>2018-12-06T01:07:00Z</cp:lastPrinted>
  <dcterms:modified xsi:type="dcterms:W3CDTF">2021-12-13T02:07:06Z</dcterms:modified>
  <dc:title>河  北  工  程  学  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2F7EA23B7B544E81A15B8D005B07AC56</vt:lpwstr>
  </property>
</Properties>
</file>