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jc w:val="center"/>
        <w:rPr>
          <w:kern w:val="0"/>
        </w:rPr>
      </w:pPr>
      <w:bookmarkStart w:id="0" w:name="_GoBack"/>
      <w:bookmarkEnd w:id="0"/>
      <w:r>
        <w:rPr>
          <w:kern w:val="0"/>
        </w:rPr>
        <w:t>法学硕士研究生入学考试大纲</w:t>
      </w:r>
    </w:p>
    <w:p>
      <w:pPr>
        <w:widowControl/>
        <w:spacing w:line="3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考试科目名称：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法学综合二</w:t>
      </w:r>
      <w:r>
        <w:rPr>
          <w:rFonts w:ascii="宋体" w:hAnsi="宋体" w:cs="宋体"/>
          <w:b/>
          <w:bCs/>
          <w:color w:val="000000"/>
          <w:kern w:val="0"/>
          <w:sz w:val="24"/>
        </w:rPr>
        <w:t>    考试科目代码：802</w:t>
      </w:r>
    </w:p>
    <w:p>
      <w:pPr>
        <w:widowControl/>
        <w:spacing w:line="30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第一部分：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民法</w:t>
      </w:r>
    </w:p>
    <w:p>
      <w:pPr>
        <w:widowControl/>
        <w:spacing w:line="30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一、考试要求</w:t>
      </w:r>
    </w:p>
    <w:p>
      <w:pPr>
        <w:spacing w:line="30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全面系统地掌握民法总论、物权、债权、继承权、人身权、侵权责任</w:t>
      </w:r>
      <w:r>
        <w:rPr>
          <w:sz w:val="24"/>
        </w:rPr>
        <w:t>的</w:t>
      </w:r>
      <w:r>
        <w:rPr>
          <w:rFonts w:hint="eastAsia"/>
          <w:sz w:val="24"/>
        </w:rPr>
        <w:t>基础</w:t>
      </w:r>
      <w:r>
        <w:rPr>
          <w:sz w:val="24"/>
        </w:rPr>
        <w:t>知识。正确理解和掌握</w:t>
      </w:r>
      <w:r>
        <w:rPr>
          <w:rFonts w:hint="eastAsia"/>
          <w:sz w:val="24"/>
        </w:rPr>
        <w:t>民法</w:t>
      </w:r>
      <w:r>
        <w:rPr>
          <w:sz w:val="24"/>
        </w:rPr>
        <w:t>的有关范畴、规律和论断</w:t>
      </w:r>
      <w:r>
        <w:rPr>
          <w:rFonts w:hint="eastAsia"/>
          <w:sz w:val="24"/>
        </w:rPr>
        <w:t>。</w:t>
      </w:r>
      <w:r>
        <w:rPr>
          <w:sz w:val="24"/>
        </w:rPr>
        <w:t>准确、恰当地运用</w:t>
      </w:r>
      <w:r>
        <w:rPr>
          <w:rFonts w:hint="eastAsia"/>
          <w:sz w:val="24"/>
        </w:rPr>
        <w:t>民法</w:t>
      </w:r>
      <w:r>
        <w:rPr>
          <w:sz w:val="24"/>
        </w:rPr>
        <w:t>原理，解释和论证某种观点，辨明理论是非。运用</w:t>
      </w:r>
      <w:r>
        <w:rPr>
          <w:rFonts w:hint="eastAsia"/>
          <w:sz w:val="24"/>
        </w:rPr>
        <w:t>民法学</w:t>
      </w:r>
      <w:r>
        <w:rPr>
          <w:sz w:val="24"/>
        </w:rPr>
        <w:t>的</w:t>
      </w:r>
      <w:r>
        <w:rPr>
          <w:rFonts w:hint="eastAsia"/>
          <w:sz w:val="24"/>
        </w:rPr>
        <w:t>知识分析和解决相关</w:t>
      </w:r>
      <w:r>
        <w:rPr>
          <w:sz w:val="24"/>
        </w:rPr>
        <w:t>理论问题和</w:t>
      </w:r>
      <w:r>
        <w:rPr>
          <w:rFonts w:hint="eastAsia"/>
          <w:sz w:val="24"/>
        </w:rPr>
        <w:t>实践</w:t>
      </w:r>
      <w:r>
        <w:rPr>
          <w:sz w:val="24"/>
        </w:rPr>
        <w:t>问题。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二、考试内容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掌握民法总论、物权、债权、人身权的内容，了解继承权、侵权责任的规定。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（一）民法总论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1、民法概述2、民事权利主体3、民事权利客体4、民事权利变动5、诉讼时效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（二）物权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1、物权总论2、所有权3、共有4、用益物权5、担保物权6、占有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（三）债权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1、债权总论2、债权分论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（四）继承权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（五）人身权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1、人身权概述2、人格权3、身份权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（六）侵权责任</w:t>
      </w:r>
    </w:p>
    <w:p>
      <w:pPr>
        <w:spacing w:line="300" w:lineRule="auto"/>
        <w:rPr>
          <w:sz w:val="24"/>
        </w:rPr>
      </w:pPr>
    </w:p>
    <w:p>
      <w:pPr>
        <w:widowControl/>
        <w:spacing w:line="30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三、试卷分值与结构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1.分值：</w:t>
      </w:r>
      <w:r>
        <w:rPr>
          <w:rFonts w:hint="eastAsia" w:ascii="宋体" w:hAnsi="宋体" w:cs="宋体"/>
          <w:color w:val="000000"/>
          <w:kern w:val="0"/>
          <w:sz w:val="24"/>
        </w:rPr>
        <w:t>75</w:t>
      </w:r>
      <w:r>
        <w:rPr>
          <w:rFonts w:ascii="宋体" w:hAnsi="宋体" w:cs="宋体"/>
          <w:color w:val="000000"/>
          <w:kern w:val="0"/>
          <w:sz w:val="24"/>
        </w:rPr>
        <w:t>分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2.题型结构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⑴名词解释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⑵简述题</w:t>
      </w:r>
    </w:p>
    <w:p>
      <w:pPr>
        <w:widowControl/>
        <w:spacing w:line="30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⑶论述题</w:t>
      </w:r>
      <w:r>
        <w:rPr>
          <w:rFonts w:hint="eastAsia" w:ascii="宋体" w:hAnsi="宋体" w:cs="宋体"/>
          <w:color w:val="000000"/>
          <w:kern w:val="0"/>
          <w:sz w:val="24"/>
        </w:rPr>
        <w:t>或案例分析</w:t>
      </w:r>
    </w:p>
    <w:p>
      <w:pPr>
        <w:widowControl/>
        <w:spacing w:line="30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四、参考书目</w:t>
      </w:r>
    </w:p>
    <w:p>
      <w:pPr>
        <w:spacing w:line="300" w:lineRule="auto"/>
        <w:rPr>
          <w:rFonts w:hint="eastAsia"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《民法》（第</w:t>
      </w:r>
      <w:r>
        <w:rPr>
          <w:rFonts w:hAnsi="Verdana"/>
          <w:color w:val="000000"/>
          <w:sz w:val="24"/>
        </w:rPr>
        <w:t>8</w:t>
      </w:r>
      <w:r>
        <w:rPr>
          <w:rFonts w:ascii="Verdana" w:hAnsi="Verdana"/>
          <w:color w:val="000000"/>
          <w:sz w:val="24"/>
        </w:rPr>
        <w:t>版），主编：魏振瀛，</w:t>
      </w:r>
      <w:r>
        <w:rPr>
          <w:rFonts w:hint="eastAsia" w:ascii="Verdana" w:hAnsi="Verdana"/>
          <w:color w:val="000000"/>
          <w:sz w:val="24"/>
        </w:rPr>
        <w:t>副主编：</w:t>
      </w:r>
      <w:r>
        <w:rPr>
          <w:rFonts w:hAnsi="Verdana"/>
          <w:color w:val="000000"/>
          <w:sz w:val="24"/>
        </w:rPr>
        <w:t>郭</w:t>
      </w:r>
      <w:r>
        <w:rPr>
          <w:rFonts w:hint="eastAsia" w:hAnsi="Verdana"/>
          <w:color w:val="000000"/>
          <w:sz w:val="24"/>
        </w:rPr>
        <w:t>明瑞。</w:t>
      </w:r>
      <w:r>
        <w:rPr>
          <w:rFonts w:ascii="Verdana" w:hAnsi="Verdana"/>
          <w:color w:val="000000"/>
          <w:sz w:val="24"/>
        </w:rPr>
        <w:t>高等教育出版社、北京大学出版社20</w:t>
      </w:r>
      <w:r>
        <w:rPr>
          <w:rFonts w:hAnsi="Verdana"/>
          <w:color w:val="000000"/>
          <w:sz w:val="24"/>
        </w:rPr>
        <w:t>21</w:t>
      </w:r>
      <w:r>
        <w:rPr>
          <w:rFonts w:ascii="Verdana" w:hAnsi="Verdana"/>
          <w:color w:val="000000"/>
          <w:sz w:val="24"/>
        </w:rPr>
        <w:t>年。 </w:t>
      </w:r>
      <w:r>
        <w:rPr>
          <w:rFonts w:ascii="Verdana" w:hAnsi="Verdana"/>
          <w:color w:val="000000"/>
          <w:sz w:val="24"/>
        </w:rPr>
        <w:br w:type="textWrapping"/>
      </w:r>
    </w:p>
    <w:p>
      <w:pPr>
        <w:spacing w:line="300" w:lineRule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spacing w:line="300" w:lineRule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spacing w:line="300" w:lineRule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</w:p>
    <w:p>
      <w:pPr>
        <w:spacing w:line="300" w:lineRule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部分：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刑法总论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一、考试要求</w:t>
      </w:r>
    </w:p>
    <w:p>
      <w:pPr>
        <w:spacing w:line="300" w:lineRule="auto"/>
        <w:ind w:firstLine="360" w:firstLineChars="150"/>
        <w:rPr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全面系统地掌握</w:t>
      </w:r>
      <w:r>
        <w:rPr>
          <w:rFonts w:hint="eastAsia" w:ascii="宋体" w:hAnsi="宋体" w:cs="宋体"/>
          <w:color w:val="000000"/>
          <w:kern w:val="0"/>
          <w:sz w:val="24"/>
        </w:rPr>
        <w:t>刑</w:t>
      </w:r>
      <w:r>
        <w:rPr>
          <w:rFonts w:ascii="宋体" w:hAnsi="宋体" w:cs="宋体"/>
          <w:color w:val="000000"/>
          <w:kern w:val="0"/>
          <w:sz w:val="24"/>
        </w:rPr>
        <w:t>法</w:t>
      </w:r>
      <w:r>
        <w:rPr>
          <w:rFonts w:hint="eastAsia" w:ascii="宋体" w:hAnsi="宋体" w:cs="宋体"/>
          <w:color w:val="000000"/>
          <w:kern w:val="0"/>
          <w:sz w:val="24"/>
        </w:rPr>
        <w:t>通论、犯罪总论、刑罚总论</w:t>
      </w:r>
      <w:r>
        <w:rPr>
          <w:rFonts w:ascii="宋体" w:hAnsi="宋体" w:cs="宋体"/>
          <w:color w:val="000000"/>
          <w:kern w:val="0"/>
          <w:sz w:val="24"/>
        </w:rPr>
        <w:t>的基础知识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>基本理论</w:t>
      </w:r>
      <w:r>
        <w:rPr>
          <w:rFonts w:hint="eastAsia" w:ascii="宋体" w:hAnsi="宋体" w:cs="宋体"/>
          <w:color w:val="000000"/>
          <w:kern w:val="0"/>
          <w:sz w:val="24"/>
        </w:rPr>
        <w:t>，具备进行全面、系统、深入地进行理论阐释和分析的基本能力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能够</w:t>
      </w:r>
      <w:r>
        <w:rPr>
          <w:rFonts w:ascii="宋体" w:hAnsi="宋体" w:cs="宋体"/>
          <w:color w:val="000000"/>
          <w:kern w:val="0"/>
          <w:sz w:val="24"/>
        </w:rPr>
        <w:t>运用</w:t>
      </w:r>
      <w:r>
        <w:rPr>
          <w:rFonts w:hint="eastAsia" w:ascii="宋体" w:hAnsi="宋体" w:cs="宋体"/>
          <w:color w:val="000000"/>
          <w:kern w:val="0"/>
          <w:sz w:val="24"/>
        </w:rPr>
        <w:t>刑</w:t>
      </w:r>
      <w:r>
        <w:rPr>
          <w:rFonts w:ascii="宋体" w:hAnsi="宋体" w:cs="宋体"/>
          <w:color w:val="000000"/>
          <w:kern w:val="0"/>
          <w:sz w:val="24"/>
        </w:rPr>
        <w:t>法</w:t>
      </w:r>
      <w:r>
        <w:rPr>
          <w:rFonts w:hint="eastAsia" w:ascii="宋体" w:hAnsi="宋体" w:cs="宋体"/>
          <w:color w:val="000000"/>
          <w:kern w:val="0"/>
          <w:sz w:val="24"/>
        </w:rPr>
        <w:t>总论</w:t>
      </w:r>
      <w:r>
        <w:rPr>
          <w:rFonts w:ascii="宋体" w:hAnsi="宋体" w:cs="宋体"/>
          <w:color w:val="000000"/>
          <w:kern w:val="0"/>
          <w:sz w:val="24"/>
        </w:rPr>
        <w:t>基础知识和基本原理分析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>解决</w:t>
      </w:r>
      <w:r>
        <w:rPr>
          <w:rFonts w:hint="eastAsia"/>
          <w:sz w:val="24"/>
        </w:rPr>
        <w:t>实践</w:t>
      </w:r>
      <w:r>
        <w:rPr>
          <w:sz w:val="24"/>
        </w:rPr>
        <w:t>问题。</w:t>
      </w:r>
    </w:p>
    <w:p>
      <w:pPr>
        <w:widowControl/>
        <w:spacing w:line="30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二、考试内容</w:t>
      </w:r>
    </w:p>
    <w:p>
      <w:pPr>
        <w:widowControl/>
        <w:spacing w:line="30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1、刑法的概念、性质、创制、完善、根据、任务、体系、解释，刑法的基本原则，刑法的空间效力和时间效力。</w:t>
      </w:r>
    </w:p>
    <w:p>
      <w:pPr>
        <w:widowControl/>
        <w:spacing w:line="30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犯罪概念与犯罪构成；犯罪客体的概念和分类，犯罪客体与犯罪对象的关系；危害行为的概念和特征，作为和不作为，危害结果的概念及其分类，危害行为与危害结果之间的因果关系；犯罪主体的概念，刑事责任能力的概念和分类，与刑事责任能力有关的因素，犯罪主体的特殊身份，单位犯罪的概念和处罚原则；犯罪故意的概念，直接故意和间接故意的概念及二者区别，犯罪过失的概念，疏忽大意的过失和过于自信的过失，过于自信过失和间接故意的区别，意外事件与疏忽大意过失的区别；正当防卫，紧急避险；故意犯罪的停止形态，包括犯罪既遂形态、犯罪预备形态、犯罪未遂形态、犯罪中止形态；共同犯罪的概念和成立条件，共同犯罪的形式，共同犯罪人的刑事责任；罪数判断标准，一罪的类型，数罪的类型。</w:t>
      </w:r>
    </w:p>
    <w:p>
      <w:pPr>
        <w:widowControl/>
        <w:spacing w:line="30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3、刑事责任的概念、特征、地位，刑事责任的根据，刑事责任的发展阶段和解决方式。</w:t>
      </w:r>
    </w:p>
    <w:p>
      <w:pPr>
        <w:widowControl/>
        <w:spacing w:line="30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4、刑罚的概念、功能、目的、体系、种类；刑罚裁量原则、情节；刑罚裁量制度，包括累犯、自首、立功、数罪并罚、缓刑；刑罚执行制度，包括减刑和假释；刑罚消灭的概念、原因，时效，赦免。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三、试卷分值与结构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1.分值：</w:t>
      </w:r>
      <w:r>
        <w:rPr>
          <w:rFonts w:hint="eastAsia" w:ascii="宋体" w:hAnsi="宋体" w:cs="宋体"/>
          <w:color w:val="000000"/>
          <w:kern w:val="0"/>
          <w:sz w:val="24"/>
        </w:rPr>
        <w:t>75</w:t>
      </w:r>
      <w:r>
        <w:rPr>
          <w:rFonts w:ascii="宋体" w:hAnsi="宋体" w:cs="宋体"/>
          <w:color w:val="000000"/>
          <w:kern w:val="0"/>
          <w:sz w:val="24"/>
        </w:rPr>
        <w:t>分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2.题型结构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⑴名词解释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⑵简述题</w:t>
      </w:r>
    </w:p>
    <w:p>
      <w:pPr>
        <w:widowControl/>
        <w:spacing w:line="30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⑶论述题</w:t>
      </w:r>
      <w:r>
        <w:rPr>
          <w:rFonts w:hint="eastAsia" w:ascii="宋体" w:hAnsi="宋体" w:cs="宋体"/>
          <w:color w:val="000000"/>
          <w:kern w:val="0"/>
          <w:sz w:val="24"/>
        </w:rPr>
        <w:t>或案例分析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四、参考书目</w:t>
      </w:r>
    </w:p>
    <w:p>
      <w:pPr>
        <w:widowControl/>
        <w:spacing w:line="30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高铭暄、马克昌</w:t>
      </w:r>
      <w:r>
        <w:rPr>
          <w:rFonts w:ascii="宋体" w:hAnsi="宋体" w:cs="宋体"/>
          <w:color w:val="000000"/>
          <w:kern w:val="0"/>
          <w:sz w:val="24"/>
        </w:rPr>
        <w:t>主编</w:t>
      </w:r>
      <w:r>
        <w:rPr>
          <w:rFonts w:hint="eastAsia" w:ascii="宋体" w:hAnsi="宋体" w:cs="宋体"/>
          <w:color w:val="000000"/>
          <w:kern w:val="0"/>
          <w:sz w:val="24"/>
        </w:rPr>
        <w:t>，赵秉志执行主编</w:t>
      </w:r>
      <w:r>
        <w:rPr>
          <w:rFonts w:ascii="宋体" w:hAnsi="宋体" w:cs="宋体"/>
          <w:color w:val="000000"/>
          <w:kern w:val="0"/>
          <w:sz w:val="24"/>
        </w:rPr>
        <w:t>：《</w:t>
      </w:r>
      <w:r>
        <w:rPr>
          <w:rFonts w:hint="eastAsia" w:ascii="宋体" w:hAnsi="宋体" w:cs="宋体"/>
          <w:color w:val="000000"/>
          <w:kern w:val="0"/>
          <w:sz w:val="24"/>
        </w:rPr>
        <w:t>刑法学</w:t>
      </w:r>
      <w:r>
        <w:rPr>
          <w:rFonts w:ascii="宋体" w:hAnsi="宋体" w:cs="宋体"/>
          <w:color w:val="000000"/>
          <w:kern w:val="0"/>
          <w:sz w:val="24"/>
        </w:rPr>
        <w:t>》（第9版），北京大学出版社、高等教育出版社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ascii="宋体" w:hAnsi="宋体" w:cs="宋体"/>
          <w:color w:val="000000"/>
          <w:kern w:val="0"/>
          <w:sz w:val="24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>
      <w:pPr>
        <w:widowControl/>
        <w:spacing w:line="30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644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0DC7"/>
    <w:rsid w:val="00151925"/>
    <w:rsid w:val="00203886"/>
    <w:rsid w:val="004168CC"/>
    <w:rsid w:val="00672595"/>
    <w:rsid w:val="00696858"/>
    <w:rsid w:val="007547F2"/>
    <w:rsid w:val="007552F6"/>
    <w:rsid w:val="007A1449"/>
    <w:rsid w:val="007E3EA0"/>
    <w:rsid w:val="008B4EF1"/>
    <w:rsid w:val="008B5C28"/>
    <w:rsid w:val="00B061AF"/>
    <w:rsid w:val="00B35B47"/>
    <w:rsid w:val="00B91450"/>
    <w:rsid w:val="00BA4E78"/>
    <w:rsid w:val="00BD0576"/>
    <w:rsid w:val="00BE68E0"/>
    <w:rsid w:val="00C66FA6"/>
    <w:rsid w:val="00E344B1"/>
    <w:rsid w:val="00EB0FB1"/>
    <w:rsid w:val="00FD2B3D"/>
    <w:rsid w:val="150D09DB"/>
    <w:rsid w:val="5C037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 w:line="336" w:lineRule="auto"/>
      <w:ind w:firstLine="360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</Company>
  <Pages>2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2017-07-12T03:39:00Z</dcterms:created>
  <dc:creator>zhangyu</dc:creator>
  <cp:lastModifiedBy>vertesyuan</cp:lastModifiedBy>
  <dcterms:modified xsi:type="dcterms:W3CDTF">2022-08-22T03:30:12Z</dcterms:modified>
  <dc:title>2012年国际法学硕士研究生入学考试大纲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B6BB50999BAE4D118DDAB7735D276B6F</vt:lpwstr>
  </property>
</Properties>
</file>