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  <w:bookmarkStart w:id="0" w:name="_GoBack"/>
      <w:bookmarkEnd w:id="0"/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职业教育课程与教学论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997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ind w:firstLine="1619" w:firstLineChars="506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生命科学学院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widowControl/>
        <w:spacing w:line="360" w:lineRule="auto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</w:t>
      </w:r>
    </w:p>
    <w:p>
      <w:pPr>
        <w:widowControl/>
        <w:spacing w:line="360" w:lineRule="auto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360" w:lineRule="auto"/>
      </w:pPr>
      <w:r>
        <w:rPr>
          <w:rFonts w:ascii="宋体" w:hAnsi="宋体"/>
          <w:sz w:val="24"/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《职业教育课程与教学论》</w:t>
      </w:r>
      <w:r>
        <w:rPr>
          <w:rFonts w:hint="eastAsia" w:ascii="黑体" w:hAnsi="黑体" w:eastAsia="黑体" w:cs="黑体"/>
          <w:b/>
          <w:bCs/>
          <w:color w:val="0000FF"/>
          <w:sz w:val="36"/>
          <w:szCs w:val="36"/>
          <w:lang w:eastAsia="zh-CN"/>
        </w:rPr>
        <w:t>复试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考试大纲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一、参考书目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黄艳芳</w:t>
      </w:r>
      <w:r>
        <w:rPr>
          <w:rFonts w:ascii="Times New Roman" w:hAnsi="Times New Roman" w:cs="Times New Roman"/>
          <w:sz w:val="24"/>
        </w:rPr>
        <w:t>编，</w:t>
      </w:r>
      <w:r>
        <w:rPr>
          <w:rFonts w:hint="eastAsia" w:ascii="Times New Roman" w:hAnsi="Times New Roman" w:cs="Times New Roman"/>
          <w:sz w:val="24"/>
        </w:rPr>
        <w:t>职业教育课程与教学论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北京师范大学</w:t>
      </w:r>
      <w:r>
        <w:rPr>
          <w:rFonts w:ascii="Times New Roman" w:hAnsi="Times New Roman" w:cs="Times New Roman"/>
          <w:sz w:val="24"/>
        </w:rPr>
        <w:t>出版社</w:t>
      </w:r>
      <w:r>
        <w:rPr>
          <w:rFonts w:hint="eastAsia"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第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版</w:t>
      </w:r>
      <w:r>
        <w:rPr>
          <w:rFonts w:hint="eastAsia"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10年。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二、主要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涉及</w:t>
      </w:r>
      <w:r>
        <w:rPr>
          <w:rFonts w:ascii="Times New Roman" w:hAnsi="Times New Roman" w:cs="Times New Roman"/>
          <w:b/>
          <w:bCs/>
          <w:sz w:val="28"/>
          <w:szCs w:val="28"/>
        </w:rPr>
        <w:t>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分值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及考试时间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（一）题型：名词解释、选择题、判断题、填空题、问答题、论述题。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（二）分值：满分</w:t>
      </w:r>
      <w:r>
        <w:rPr>
          <w:rFonts w:hint="eastAsia"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>分。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（三）考试时间：120分钟。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三、考试大纲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绪论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职业教育课程与教学的基本概念。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38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职业教育课程与教学论概述</w:t>
      </w:r>
    </w:p>
    <w:p>
      <w:pPr>
        <w:spacing w:line="360" w:lineRule="auto"/>
        <w:ind w:left="238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职业教育课程与教学论的研究对象</w:t>
      </w:r>
    </w:p>
    <w:p>
      <w:pPr>
        <w:spacing w:line="360" w:lineRule="auto"/>
        <w:ind w:left="238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职业教育课程与教学论的发展历程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职业教育课程开发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职业教育课程开发的理念、程序、方法及模式。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职业教育课程开发概述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职业教育课程开发程序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职业教育课程目标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职业教育课程目标的特征、依据和分类。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课程目标的特征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课程目标的依据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课程目标的分类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职业教学课程内容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职业教育课程内容的组织模式、基本原则和组织方法；职业教育课程内容的类型与结构；职业教育课程的教材建设。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课程内容的选择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课程内容的组织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课程类型与结构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课程内容的呈现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职业教育课程实施与评价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职业教育课程实施的策略与模式；职业教育课程评价的类型、过程及对象。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影响课程实施的因素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课程实施</w:t>
      </w:r>
      <w:r>
        <w:rPr>
          <w:rFonts w:ascii="Times New Roman" w:hAnsi="Times New Roman" w:cs="Times New Roman"/>
          <w:sz w:val="24"/>
        </w:rPr>
        <w:t>的</w:t>
      </w:r>
      <w:r>
        <w:rPr>
          <w:rFonts w:hint="eastAsia" w:ascii="Times New Roman" w:hAnsi="Times New Roman" w:cs="Times New Roman"/>
          <w:sz w:val="24"/>
        </w:rPr>
        <w:t>策略与模式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课程评价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职业教育课程管理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职业教育课程管理的意义与作用、管理模式、发展趋势。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课程管理概述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课程管理模式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课程管理的发展趋势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第7章  </w:t>
      </w:r>
      <w:r>
        <w:rPr>
          <w:rFonts w:hint="eastAsia" w:ascii="Times New Roman" w:hAnsi="Times New Roman" w:cs="Times New Roman"/>
          <w:b/>
          <w:bCs/>
          <w:sz w:val="24"/>
        </w:rPr>
        <w:t>职业教育校本课程开发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职业教育校本课程开发的特征、影响因素和基本原则；校本课程开发的内容、程序与方法。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校本课程开发概述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校本课程开发的实施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第8章  </w:t>
      </w:r>
      <w:r>
        <w:rPr>
          <w:rFonts w:hint="eastAsia" w:ascii="Times New Roman" w:hAnsi="Times New Roman" w:cs="Times New Roman"/>
          <w:b/>
          <w:bCs/>
          <w:sz w:val="24"/>
        </w:rPr>
        <w:t>职业教育教学过程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职业教育教学基本要素；教学过程的基本阶段；优化教学的基本策略。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教学基本要素及其关系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教学过程的基本阶段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优化教学的基本策略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第9章  </w:t>
      </w:r>
      <w:r>
        <w:rPr>
          <w:rFonts w:hint="eastAsia" w:ascii="Times New Roman" w:hAnsi="Times New Roman" w:cs="Times New Roman"/>
          <w:b/>
          <w:bCs/>
          <w:sz w:val="24"/>
        </w:rPr>
        <w:t>职业教育实践教学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职业教学实践教学的特点、分类和功能；实践教学的运行；实践教学的影响因素；实践教学的指导策略与管理。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实践教学概述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实践教学的运行程序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实践教学的影响因素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实践教学的指导与管理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第10章  </w:t>
      </w:r>
      <w:r>
        <w:rPr>
          <w:rFonts w:hint="eastAsia" w:ascii="Times New Roman" w:hAnsi="Times New Roman" w:cs="Times New Roman"/>
          <w:b/>
          <w:bCs/>
          <w:sz w:val="24"/>
        </w:rPr>
        <w:t>职业教育教学设计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职业教育教学设计相关概念；职业教育教学设计的内容和方法。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教学设计概述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教学设计的内容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教学设计的方法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第11章  </w:t>
      </w:r>
      <w:r>
        <w:rPr>
          <w:rFonts w:hint="eastAsia" w:ascii="Times New Roman" w:hAnsi="Times New Roman" w:cs="Times New Roman"/>
          <w:b/>
          <w:bCs/>
          <w:sz w:val="24"/>
        </w:rPr>
        <w:t>职业教育教学模式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职业教育教学模式相关概念；国内外主要教学模式及其评价；教学模式的选择和应用。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教学模式概述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国内外教学模式及其评价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教学模式的选择与应用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第12章  </w:t>
      </w:r>
      <w:r>
        <w:rPr>
          <w:rFonts w:hint="eastAsia" w:ascii="Times New Roman" w:hAnsi="Times New Roman" w:cs="Times New Roman"/>
          <w:b/>
          <w:bCs/>
          <w:sz w:val="24"/>
        </w:rPr>
        <w:t>职业教育教学方法与手段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职业教育主要教学方法与手段及其选择和运用。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教学方法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教学手段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第13章  </w:t>
      </w:r>
      <w:r>
        <w:rPr>
          <w:rFonts w:hint="eastAsia" w:ascii="Times New Roman" w:hAnsi="Times New Roman" w:cs="Times New Roman"/>
          <w:b/>
          <w:bCs/>
          <w:sz w:val="24"/>
        </w:rPr>
        <w:t>职业教育课堂教学管理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职业教育课堂教学相关概念；课程教学的组织形式、基本环节和管理策略。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课堂教学管理概述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课堂教学组织形式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课堂教学的基本环节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课堂教学管理策略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第14章  </w:t>
      </w:r>
      <w:r>
        <w:rPr>
          <w:rFonts w:hint="eastAsia" w:ascii="Times New Roman" w:hAnsi="Times New Roman" w:cs="Times New Roman"/>
          <w:b/>
          <w:bCs/>
          <w:sz w:val="24"/>
        </w:rPr>
        <w:t>职业教育教学评价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职业教育教学评价基本概念；教学评价的类型。教师教学工作评价和学生学业评价。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教学评价概述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教学评价的类型</w:t>
      </w:r>
    </w:p>
    <w:p>
      <w:pPr>
        <w:spacing w:line="360" w:lineRule="auto"/>
        <w:ind w:left="24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教师教学工作评价</w:t>
      </w:r>
    </w:p>
    <w:p>
      <w:pPr>
        <w:spacing w:line="360" w:lineRule="auto"/>
        <w:ind w:left="240"/>
      </w:pP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学生学业评价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dmMDI3ZmQyMDY3NzU1NWJkZGIwNjc4ZDM1ZjQifQ=="/>
  </w:docVars>
  <w:rsids>
    <w:rsidRoot w:val="00000000"/>
    <w:rsid w:val="396C0A6C"/>
    <w:rsid w:val="49E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2022-06-21T08:38:00Z</dcterms:created>
  <dc:creator>Administrator</dc:creator>
  <cp:lastModifiedBy>Administrator</cp:lastModifiedBy>
  <dcterms:modified xsi:type="dcterms:W3CDTF">2022-06-29T08:27:27Z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111FE9C1393447BABD736189F39A47E4</vt:lpwstr>
  </property>
</Properties>
</file>