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DengXian"/>
          <w:szCs w:val="21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jc w:val="center"/>
        <w:rPr>
          <w:rFonts w:ascii="宋体"/>
          <w:sz w:val="24"/>
        </w:rPr>
      </w:pPr>
      <w:r>
        <w:pict>
          <v:shape id="_x0000_i1025" o:spt="75" alt="XB" type="#_x0000_t75" style="height:36.75pt;width:20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</w:t>
      </w:r>
      <w:r>
        <w:rPr>
          <w:rFonts w:hint="eastAsia" w:ascii="宋体" w:hAnsi="宋体"/>
          <w:b/>
          <w:sz w:val="44"/>
          <w:szCs w:val="44"/>
          <w:lang w:eastAsia="zh-CN"/>
        </w:rPr>
        <w:t>招生</w:t>
      </w:r>
      <w:r>
        <w:rPr>
          <w:rFonts w:hint="eastAsia" w:ascii="宋体" w:hAnsi="宋体"/>
          <w:b/>
          <w:sz w:val="44"/>
          <w:szCs w:val="44"/>
        </w:rPr>
        <w:t>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《社会体育导论》科目大纲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b/>
          <w:sz w:val="48"/>
          <w:szCs w:val="48"/>
        </w:rPr>
        <w:t xml:space="preserve"> </w:t>
      </w:r>
      <w:r>
        <w:rPr>
          <w:rFonts w:ascii="黑体" w:hAnsi="宋体" w:eastAsia="黑体"/>
          <w:sz w:val="30"/>
          <w:szCs w:val="30"/>
        </w:rPr>
        <w:t>(</w:t>
      </w:r>
      <w:r>
        <w:rPr>
          <w:rFonts w:hint="eastAsia" w:ascii="黑体" w:hAnsi="宋体" w:eastAsia="黑体"/>
          <w:sz w:val="30"/>
          <w:szCs w:val="30"/>
        </w:rPr>
        <w:t>科目代码：</w:t>
      </w:r>
      <w:r>
        <w:rPr>
          <w:rFonts w:ascii="黑体" w:hAnsi="宋体" w:eastAsia="黑体"/>
          <w:color w:val="auto"/>
          <w:sz w:val="30"/>
          <w:szCs w:val="30"/>
        </w:rPr>
        <w:t>977</w:t>
      </w:r>
      <w:r>
        <w:rPr>
          <w:rFonts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460" w:lineRule="exact"/>
        <w:jc w:val="left"/>
        <w:rPr>
          <w:rFonts w:ascii="宋体"/>
          <w:sz w:val="24"/>
        </w:rPr>
      </w:pPr>
    </w:p>
    <w:p>
      <w:pPr>
        <w:widowControl/>
        <w:spacing w:line="800" w:lineRule="exact"/>
        <w:ind w:firstLine="1280" w:firstLine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体育学院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</w:t>
      </w:r>
    </w:p>
    <w:p>
      <w:pPr>
        <w:widowControl/>
        <w:spacing w:line="800" w:lineRule="exact"/>
        <w:ind w:firstLine="1278" w:firstLineChars="444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</w:t>
      </w:r>
      <w:r>
        <w:rPr>
          <w:rFonts w:ascii="仿宋_GB2312" w:hAnsi="宋体" w:eastAsia="仿宋_GB2312"/>
          <w:w w:val="90"/>
          <w:sz w:val="32"/>
          <w:szCs w:val="32"/>
        </w:rPr>
        <w:t>(</w:t>
      </w:r>
      <w:r>
        <w:rPr>
          <w:rFonts w:hint="eastAsia" w:ascii="仿宋_GB2312" w:hAnsi="宋体" w:eastAsia="仿宋_GB2312"/>
          <w:w w:val="90"/>
          <w:sz w:val="32"/>
          <w:szCs w:val="32"/>
        </w:rPr>
        <w:t>签字</w:t>
      </w:r>
      <w:r>
        <w:rPr>
          <w:rFonts w:ascii="仿宋_GB2312" w:hAnsi="宋体" w:eastAsia="仿宋_GB2312"/>
          <w:w w:val="90"/>
          <w:sz w:val="32"/>
          <w:szCs w:val="32"/>
        </w:rPr>
        <w:t>)</w:t>
      </w:r>
      <w:r>
        <w:rPr>
          <w:rFonts w:hint="eastAsia" w:ascii="仿宋_GB2312" w:hAnsi="宋体" w:eastAsia="仿宋_GB2312"/>
          <w:w w:val="90"/>
          <w:sz w:val="32"/>
          <w:szCs w:val="32"/>
        </w:rPr>
        <w:t>：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    </w:t>
      </w:r>
    </w:p>
    <w:p>
      <w:pPr>
        <w:widowControl/>
        <w:spacing w:line="800" w:lineRule="exact"/>
        <w:ind w:firstLine="1278" w:firstLineChars="444"/>
        <w:rPr>
          <w:rFonts w:ascii="仿宋_GB2312" w:hAnsi="宋体" w:eastAsia="仿宋_GB2312"/>
          <w:w w:val="90"/>
          <w:sz w:val="32"/>
          <w:szCs w:val="32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编</w:t>
      </w:r>
      <w:r>
        <w:rPr>
          <w:rFonts w:ascii="仿宋_GB2312" w:hAnsi="宋体" w:eastAsia="仿宋_GB2312"/>
          <w:w w:val="9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</w:rPr>
        <w:t>制</w:t>
      </w:r>
      <w:r>
        <w:rPr>
          <w:rFonts w:ascii="仿宋_GB2312" w:hAnsi="宋体" w:eastAsia="仿宋_GB2312"/>
          <w:w w:val="9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</w:rPr>
        <w:t>时</w:t>
      </w:r>
      <w:r>
        <w:rPr>
          <w:rFonts w:ascii="仿宋_GB2312" w:hAnsi="宋体" w:eastAsia="仿宋_GB2312"/>
          <w:w w:val="9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</w:rPr>
        <w:t>间：</w:t>
      </w:r>
      <w:r>
        <w:rPr>
          <w:rFonts w:ascii="仿宋_GB2312" w:hAnsi="宋体" w:eastAsia="仿宋_GB2312"/>
          <w:w w:val="90"/>
          <w:sz w:val="32"/>
          <w:szCs w:val="32"/>
        </w:rPr>
        <w:t xml:space="preserve"> </w:t>
      </w:r>
      <w:bookmarkStart w:id="0" w:name="_GoBack"/>
      <w:r>
        <w:rPr>
          <w:rFonts w:ascii="仿宋_GB2312" w:hAnsi="宋体" w:eastAsia="仿宋_GB2312"/>
          <w:w w:val="90"/>
          <w:sz w:val="32"/>
          <w:szCs w:val="32"/>
          <w:u w:val="none"/>
        </w:rPr>
        <w:t xml:space="preserve"> </w:t>
      </w:r>
      <w:bookmarkEnd w:id="0"/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202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27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>日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《社会体育导论》科目大纲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(</w:t>
      </w:r>
      <w:r>
        <w:rPr>
          <w:rFonts w:hint="eastAsia" w:ascii="宋体" w:hAnsi="宋体" w:cs="宋体"/>
          <w:kern w:val="0"/>
          <w:sz w:val="32"/>
          <w:szCs w:val="32"/>
        </w:rPr>
        <w:t>科目代码：</w:t>
      </w:r>
      <w:r>
        <w:rPr>
          <w:rFonts w:ascii="宋体" w:hAnsi="宋体" w:eastAsia="DengXian" w:cs="宋体"/>
          <w:color w:val="auto"/>
          <w:kern w:val="0"/>
          <w:sz w:val="32"/>
          <w:szCs w:val="32"/>
        </w:rPr>
        <w:t>977</w:t>
      </w:r>
      <w:r>
        <w:rPr>
          <w:rFonts w:ascii="宋体" w:hAnsi="宋体" w:cs="宋体"/>
          <w:kern w:val="0"/>
          <w:sz w:val="32"/>
          <w:szCs w:val="32"/>
        </w:rPr>
        <w:t xml:space="preserve"> )</w:t>
      </w:r>
    </w:p>
    <w:p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一、考核要求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本考试科目为体育硕士“社会体育指导”方向（领域）的综合基础理论考试，要求考生准确掌握社会体育学的基本概念和基本理论，熟悉社会体育的常用方法与手段，了解社会体育理论前沿知识，具备制定社会体育活动指导计划的能力和组织实施能力。</w:t>
      </w:r>
    </w:p>
    <w:p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二、考核评价目标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《社会体育导论》适用于体育硕士“社会体育指导”方向（领域）研究生考试，主要考察考生对社会体育学基本概念、基本理论与方法的掌握情况，以及应用理论分析和解决社会体育实际问题的能力。目的是测试考生对社会体育基础知识的掌握程度，以及应用理论分析、解释和指导社会体育实践的能力。</w:t>
      </w:r>
    </w:p>
    <w:p>
      <w:pPr>
        <w:spacing w:beforeLines="50" w:afterLines="50"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三、考试形式</w:t>
      </w:r>
    </w:p>
    <w:p>
      <w:pPr>
        <w:spacing w:line="360" w:lineRule="exact"/>
        <w:rPr>
          <w:szCs w:val="21"/>
        </w:rPr>
      </w:pPr>
      <w:r>
        <w:rPr>
          <w:sz w:val="24"/>
        </w:rPr>
        <w:t xml:space="preserve">  </w:t>
      </w:r>
      <w:r>
        <w:rPr>
          <w:rFonts w:hint="eastAsia"/>
          <w:szCs w:val="21"/>
        </w:rPr>
        <w:t>本考试为闭卷，笔试考试，满分</w:t>
      </w:r>
      <w:r>
        <w:rPr>
          <w:szCs w:val="21"/>
        </w:rPr>
        <w:t>100</w:t>
      </w:r>
      <w:r>
        <w:rPr>
          <w:rFonts w:hint="eastAsia"/>
          <w:szCs w:val="21"/>
        </w:rPr>
        <w:t>分，考试时间</w:t>
      </w:r>
      <w:r>
        <w:rPr>
          <w:szCs w:val="21"/>
        </w:rPr>
        <w:t>120</w:t>
      </w:r>
      <w:r>
        <w:rPr>
          <w:rFonts w:hint="eastAsia"/>
          <w:szCs w:val="21"/>
        </w:rPr>
        <w:t>分钟。</w:t>
      </w:r>
    </w:p>
    <w:p>
      <w:pPr>
        <w:spacing w:line="360" w:lineRule="exact"/>
        <w:rPr>
          <w:sz w:val="24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试卷结构：名词解释</w:t>
      </w:r>
      <w:r>
        <w:rPr>
          <w:rFonts w:ascii="宋体" w:hAnsi="宋体"/>
          <w:szCs w:val="21"/>
        </w:rPr>
        <w:t>20%</w:t>
      </w:r>
      <w:r>
        <w:rPr>
          <w:rFonts w:hint="eastAsia"/>
          <w:szCs w:val="21"/>
        </w:rPr>
        <w:t>，简答题</w:t>
      </w:r>
      <w:r>
        <w:rPr>
          <w:rFonts w:ascii="宋体" w:hAnsi="宋体"/>
          <w:szCs w:val="21"/>
        </w:rPr>
        <w:t>40%</w:t>
      </w:r>
      <w:r>
        <w:rPr>
          <w:rFonts w:hint="eastAsia"/>
          <w:szCs w:val="21"/>
        </w:rPr>
        <w:t>，论述题</w:t>
      </w:r>
      <w:r>
        <w:rPr>
          <w:rFonts w:ascii="宋体" w:hAnsi="宋体"/>
          <w:szCs w:val="21"/>
        </w:rPr>
        <w:t>40%</w:t>
      </w:r>
      <w:r>
        <w:rPr>
          <w:rFonts w:hint="eastAsia"/>
          <w:szCs w:val="21"/>
        </w:rPr>
        <w:t>。</w:t>
      </w:r>
    </w:p>
    <w:p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四、考核内容</w:t>
      </w:r>
    </w:p>
    <w:p>
      <w:pPr>
        <w:spacing w:line="360" w:lineRule="exact"/>
        <w:ind w:firstLine="420" w:firstLineChars="200"/>
        <w:rPr>
          <w:rFonts w:ascii="黑体" w:hAnsi="宋体" w:eastAsia="黑体" w:cs="宋体"/>
          <w:szCs w:val="21"/>
        </w:rPr>
      </w:pPr>
      <w:r>
        <w:rPr>
          <w:rFonts w:hint="eastAsia" w:ascii="黑体" w:hAnsi="宋体" w:eastAsia="黑体" w:cs="宋体"/>
          <w:szCs w:val="21"/>
        </w:rPr>
        <w:t>第一章</w:t>
      </w:r>
      <w:r>
        <w:rPr>
          <w:rFonts w:ascii="黑体" w:hAnsi="宋体" w:eastAsia="黑体" w:cs="宋体"/>
          <w:szCs w:val="21"/>
        </w:rPr>
        <w:t xml:space="preserve">  </w:t>
      </w:r>
      <w:r>
        <w:rPr>
          <w:rFonts w:hint="eastAsia" w:ascii="黑体" w:hAnsi="宋体" w:eastAsia="黑体" w:cs="宋体"/>
          <w:szCs w:val="21"/>
        </w:rPr>
        <w:t>社会体育概述</w:t>
      </w:r>
    </w:p>
    <w:p>
      <w:pPr>
        <w:spacing w:line="360" w:lineRule="exact"/>
        <w:ind w:firstLine="630" w:firstLineChars="3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第一节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社会体育的概念体系</w:t>
      </w:r>
    </w:p>
    <w:p>
      <w:pPr>
        <w:spacing w:line="360" w:lineRule="exact"/>
        <w:ind w:firstLine="630" w:firstLineChars="3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第二节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社会体育的产生与发展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第二章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社会体育与社会进步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社会体育与生产方式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社会体育与生活方式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社会体育与大众健康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社会体育与社会文化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第三章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我国社会体育的目的与任务以及地位与功能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我国社会体育的目的与任务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社会体育的地位与功能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第四章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社会体育参与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社会体育参与概述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影响社会体育参与的基本因素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体育人口概述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非体育人口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第五章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影响社会体育发展的因素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影响社会体育发展的宏观因素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影响社会体育发展的中观因素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影响社会体育发展的微观因素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第六章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社会体育活动的原则、内容与方法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社会体育活动的原则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社会体育活动的内容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社会体育活动的练习方法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社会体育活动的指导方法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第七章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社会体育活动的分类指导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社会体育的人群分类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社会体育的社会组织分类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第八章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社会体育管理的内容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社会体育人员管理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社会体育财务管理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社会体育物质管理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社会体育信息管理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社会体育社会问题处理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第九章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社会体育管理的方法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社会体育管理的法律方法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社会体育管理的经济方法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社会体育管理的计划方法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社会体育管理的行政方法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社会体育的社团管理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第六节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社会体育的标准化管理</w:t>
      </w:r>
    </w:p>
    <w:p>
      <w:pPr>
        <w:spacing w:line="360" w:lineRule="exact"/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第十章</w:t>
      </w:r>
      <w:r>
        <w:rPr>
          <w:rFonts w:ascii="黑体" w:eastAsia="黑体"/>
          <w:szCs w:val="21"/>
        </w:rPr>
        <w:t xml:space="preserve">  </w:t>
      </w:r>
      <w:r>
        <w:rPr>
          <w:rFonts w:hint="eastAsia" w:ascii="黑体" w:eastAsia="黑体"/>
          <w:szCs w:val="21"/>
        </w:rPr>
        <w:t>社会体育机构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体育行政机构</w:t>
      </w:r>
    </w:p>
    <w:p>
      <w:pPr>
        <w:spacing w:line="36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社会体育社会团体</w:t>
      </w:r>
    </w:p>
    <w:p>
      <w:pPr>
        <w:spacing w:line="360" w:lineRule="exact"/>
        <w:ind w:firstLine="630" w:firstLineChars="300"/>
        <w:rPr>
          <w:sz w:val="24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社会体育企业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宋体" w:hAnsi="宋体"/>
          <w:szCs w:val="21"/>
        </w:rPr>
      </w:pPr>
    </w:p>
    <w:p>
      <w:pPr>
        <w:rPr>
          <w:rFonts w:ascii="宋体" w:cs="宋体"/>
          <w:b/>
          <w:szCs w:val="21"/>
        </w:rPr>
      </w:pPr>
      <w:r>
        <w:rPr>
          <w:rFonts w:hint="eastAsia" w:ascii="黑体" w:hAnsi="宋体" w:eastAsia="黑体" w:cs="宋体"/>
          <w:szCs w:val="21"/>
        </w:rPr>
        <w:t>参考书目</w:t>
      </w:r>
      <w:r>
        <w:rPr>
          <w:rFonts w:hint="eastAsia" w:ascii="宋体" w:hAnsi="宋体" w:cs="宋体"/>
          <w:b/>
          <w:szCs w:val="21"/>
        </w:rPr>
        <w:t>：</w:t>
      </w:r>
    </w:p>
    <w:p>
      <w:pPr>
        <w:rPr>
          <w:rFonts w:ascii="宋体" w:cs="宋体"/>
          <w:szCs w:val="21"/>
        </w:rPr>
      </w:pPr>
      <w:r>
        <w:rPr>
          <w:rFonts w:ascii="宋体" w:hAnsi="宋体" w:cs="宋体"/>
          <w:b/>
          <w:szCs w:val="21"/>
        </w:rPr>
        <w:t>1.</w:t>
      </w:r>
      <w:r>
        <w:rPr>
          <w:rFonts w:hint="eastAsia" w:ascii="宋体" w:hAnsi="宋体" w:cs="宋体"/>
          <w:szCs w:val="21"/>
        </w:rPr>
        <w:t>卢元镇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主编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《社会体育导论》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北京：高等教育出版社，</w:t>
      </w:r>
      <w:r>
        <w:rPr>
          <w:rFonts w:ascii="宋体" w:hAnsi="宋体"/>
          <w:szCs w:val="21"/>
        </w:rPr>
        <w:t>2011</w:t>
      </w:r>
      <w:r>
        <w:rPr>
          <w:rFonts w:hint="eastAsia" w:ascii="宋体" w:hAnsi="宋体"/>
          <w:szCs w:val="21"/>
        </w:rPr>
        <w:t>年第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版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/>
          <w:szCs w:val="21"/>
        </w:rPr>
        <w:t>2019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 w:cs="宋体"/>
          <w:szCs w:val="21"/>
        </w:rPr>
        <w:t>重印）</w:t>
      </w:r>
      <w:r>
        <w:rPr>
          <w:rFonts w:ascii="宋体" w:hAnsi="宋体" w:cs="宋体"/>
          <w:szCs w:val="21"/>
        </w:rPr>
        <w:t>.</w:t>
      </w:r>
    </w:p>
    <w:p>
      <w:pPr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2.</w:t>
      </w:r>
      <w:r>
        <w:rPr>
          <w:rFonts w:hint="eastAsia" w:ascii="宋体" w:hAnsi="宋体" w:cs="宋体"/>
          <w:szCs w:val="21"/>
        </w:rPr>
        <w:t>卢元镇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主编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《社会体育学》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北京：高等教育出版社，</w:t>
      </w:r>
      <w:r>
        <w:rPr>
          <w:rFonts w:ascii="宋体" w:hAnsi="宋体"/>
          <w:szCs w:val="21"/>
        </w:rPr>
        <w:t>2001.</w:t>
      </w:r>
    </w:p>
    <w:p>
      <w:pPr>
        <w:rPr>
          <w:rFonts w:asci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F6D"/>
    <w:rsid w:val="00007BA9"/>
    <w:rsid w:val="00020474"/>
    <w:rsid w:val="00044AE2"/>
    <w:rsid w:val="0006240C"/>
    <w:rsid w:val="000C509C"/>
    <w:rsid w:val="00184865"/>
    <w:rsid w:val="001951F1"/>
    <w:rsid w:val="001E7118"/>
    <w:rsid w:val="00213905"/>
    <w:rsid w:val="00226093"/>
    <w:rsid w:val="00226294"/>
    <w:rsid w:val="00235D3F"/>
    <w:rsid w:val="00282BDE"/>
    <w:rsid w:val="002B632E"/>
    <w:rsid w:val="002D7214"/>
    <w:rsid w:val="0035576C"/>
    <w:rsid w:val="003668C9"/>
    <w:rsid w:val="003C40E3"/>
    <w:rsid w:val="00431F7F"/>
    <w:rsid w:val="00477E83"/>
    <w:rsid w:val="004C6290"/>
    <w:rsid w:val="0052371C"/>
    <w:rsid w:val="00571E2E"/>
    <w:rsid w:val="00582BA8"/>
    <w:rsid w:val="005F6D8B"/>
    <w:rsid w:val="00616434"/>
    <w:rsid w:val="006204D8"/>
    <w:rsid w:val="007056B2"/>
    <w:rsid w:val="00712AD1"/>
    <w:rsid w:val="0074669B"/>
    <w:rsid w:val="00747DC4"/>
    <w:rsid w:val="007C0C3A"/>
    <w:rsid w:val="00823197"/>
    <w:rsid w:val="008272D9"/>
    <w:rsid w:val="00827E73"/>
    <w:rsid w:val="008568EA"/>
    <w:rsid w:val="00856BA6"/>
    <w:rsid w:val="008B0889"/>
    <w:rsid w:val="008B19CF"/>
    <w:rsid w:val="008C75A0"/>
    <w:rsid w:val="00915F6D"/>
    <w:rsid w:val="009E2222"/>
    <w:rsid w:val="009F1A5E"/>
    <w:rsid w:val="00A53E11"/>
    <w:rsid w:val="00AB7488"/>
    <w:rsid w:val="00AE27E7"/>
    <w:rsid w:val="00B107A4"/>
    <w:rsid w:val="00C5408E"/>
    <w:rsid w:val="00DF38E5"/>
    <w:rsid w:val="00E03499"/>
    <w:rsid w:val="00E240E3"/>
    <w:rsid w:val="00E31874"/>
    <w:rsid w:val="00E34845"/>
    <w:rsid w:val="00E42B31"/>
    <w:rsid w:val="00E575CE"/>
    <w:rsid w:val="00F3467A"/>
    <w:rsid w:val="00F41079"/>
    <w:rsid w:val="00FC1EC4"/>
    <w:rsid w:val="2C510922"/>
    <w:rsid w:val="33730A34"/>
    <w:rsid w:val="41E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  <w:vertAlign w:val="baseline"/>
    </w:rPr>
  </w:style>
  <w:style w:type="character" w:customStyle="1" w:styleId="8">
    <w:name w:val="Head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  <w:vertAlign w:val="baseline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194</Words>
  <Characters>1112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2020-09-01T12:24:00Z</dcterms:created>
  <dc:creator>xiaowei0039</dc:creator>
  <cp:lastModifiedBy>Administrator</cp:lastModifiedBy>
  <dcterms:modified xsi:type="dcterms:W3CDTF">2022-06-29T08:13:04Z</dcterms:modified>
  <dc:title>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5128E25A671341F8B1FBC5B5974F6AED</vt:lpwstr>
  </property>
</Properties>
</file>