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0" w:lineRule="exact"/>
        <w:ind w:firstLine="480" w:firstLineChars="200"/>
        <w:jc w:val="left"/>
        <w:rPr>
          <w:rFonts w:ascii="宋体" w:hAnsi="宋体"/>
          <w:sz w:val="24"/>
        </w:rPr>
      </w:pPr>
      <w:bookmarkStart w:id="0" w:name="_GoBack"/>
      <w:bookmarkEnd w:id="0"/>
    </w:p>
    <w:p>
      <w:pPr>
        <w:widowControl/>
        <w:spacing w:line="2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2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2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</w:t>
      </w:r>
      <w:r>
        <w:rPr>
          <w:rFonts w:hint="eastAsia" w:ascii="黑体" w:hAnsi="宋体" w:eastAsia="黑体"/>
          <w:b/>
          <w:sz w:val="52"/>
          <w:szCs w:val="52"/>
        </w:rPr>
        <w:t>中国地理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(科目代码：948)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地理与环境科学学院  </w:t>
      </w:r>
      <w:r>
        <w:rPr>
          <w:rFonts w:hint="eastAsia" w:ascii="仿宋_GB2312" w:hAnsi="宋体" w:eastAsia="仿宋_GB2312"/>
          <w:sz w:val="18"/>
          <w:szCs w:val="18"/>
          <w:u w:val="single"/>
        </w:rPr>
        <w:t xml:space="preserve">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20</w:t>
      </w:r>
      <w:r>
        <w:rPr>
          <w:rFonts w:ascii="仿宋_GB2312" w:hAnsi="宋体" w:eastAsia="仿宋_GB2312"/>
          <w:sz w:val="32"/>
          <w:szCs w:val="32"/>
          <w:u w:val="single"/>
        </w:rPr>
        <w:t>22</w:t>
      </w:r>
      <w:r>
        <w:rPr>
          <w:rFonts w:hint="eastAsia" w:ascii="仿宋_GB2312" w:hAnsi="宋体" w:eastAsia="仿宋_GB2312"/>
          <w:sz w:val="32"/>
          <w:szCs w:val="32"/>
          <w:u w:val="single"/>
        </w:rPr>
        <w:t>年</w:t>
      </w:r>
      <w:r>
        <w:rPr>
          <w:rFonts w:ascii="仿宋_GB2312" w:hAnsi="宋体" w:eastAsia="仿宋_GB2312"/>
          <w:sz w:val="32"/>
          <w:szCs w:val="32"/>
          <w:u w:val="single"/>
        </w:rPr>
        <w:t>6</w:t>
      </w:r>
      <w:r>
        <w:rPr>
          <w:rFonts w:hint="eastAsia" w:ascii="仿宋_GB2312" w:hAnsi="宋体" w:eastAsia="仿宋_GB2312"/>
          <w:sz w:val="32"/>
          <w:szCs w:val="32"/>
          <w:u w:val="single"/>
        </w:rPr>
        <w:t>月</w:t>
      </w:r>
      <w:r>
        <w:rPr>
          <w:rFonts w:ascii="仿宋_GB2312" w:hAnsi="宋体" w:eastAsia="仿宋_GB2312"/>
          <w:sz w:val="32"/>
          <w:szCs w:val="32"/>
          <w:u w:val="single"/>
        </w:rPr>
        <w:t>22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日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《中国地理》科目大纲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科目代码：948</w:t>
      </w:r>
    </w:p>
    <w:p>
      <w:pPr>
        <w:widowControl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widowControl/>
        <w:ind w:firstLine="420" w:firstLineChars="20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本《中国地理》考试大纲适用于西北师范大学地理与环境科学学院自然地理学/学科教学（地理）专业的硕士研究生入学考试。要求考生掌握中国的地理区位及地理意义、中国地理环境结构与特征、中国地理景观格局的形成及演化过程、中国人口-民族-城镇分布与格局特征、中国资源开发与产业布局、中国地理区划等基础知识，并能运用相关理论和方法分析、解决实际问题。</w:t>
      </w:r>
    </w:p>
    <w:p>
      <w:pPr>
        <w:widowControl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二、考核评价目标</w:t>
      </w:r>
    </w:p>
    <w:p>
      <w:pPr>
        <w:pStyle w:val="2"/>
        <w:ind w:firstLine="400" w:firstLineChars="200"/>
        <w:rPr>
          <w:rFonts w:eastAsia="仿宋_GB2312"/>
          <w:szCs w:val="21"/>
          <w:lang w:val="zh-CN"/>
        </w:rPr>
      </w:pPr>
      <w:r>
        <w:rPr>
          <w:rFonts w:hint="eastAsia" w:ascii="仿宋_GB2312" w:eastAsia="仿宋_GB2312"/>
        </w:rPr>
        <w:t>高等学校优秀本科毕业生能达到及格或及格以上水平，以保证被录取者具有基本的专业基础知识素养，并有利于本校自然地理学专业人才择优选拔</w:t>
      </w:r>
      <w:r>
        <w:rPr>
          <w:rFonts w:hint="eastAsia" w:eastAsia="仿宋_GB2312"/>
          <w:szCs w:val="21"/>
        </w:rPr>
        <w:t>。</w:t>
      </w:r>
    </w:p>
    <w:p>
      <w:pPr>
        <w:widowControl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三、考核内容</w:t>
      </w:r>
    </w:p>
    <w:p>
      <w:pPr>
        <w:widowControl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第一章 中国地理区位及特征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第一节 中国地理区位及疆域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地理位置分类与区位，中国的地理位置与地理意义，中国疆域、国土特征。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中国地理位置与地理特征的相关性分析</w:t>
      </w:r>
    </w:p>
    <w:p>
      <w:pPr>
        <w:widowControl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第二章 中国地理景观格局及演变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大地构造与地貌格局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大地构造地势及出现的地貌格局，外营力组合与常态地貌，地表物质与特殊地貌。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水热结构与自然地带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青藏高原隆起与季风环流形成，气候区域与水热结构，土壤植被带谱及形成，地表径流空间分异特征。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地理景观格局演变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第三、四纪地理景观格局特征与青藏高原隆起的相关性，全新的气候波动与中国北方农业的兴衰、朝代更替之间的相关性，改革开放以来景观城市化空间分异与自然空间特征的相关性。</w:t>
      </w:r>
    </w:p>
    <w:p>
      <w:pPr>
        <w:widowControl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第三章 中国人口及城镇化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人口密度及地理意义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人口密度空间分布，“胡焕庸线”的地理意义。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中国民族的地理分布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中国民族的地理分布特征。</w:t>
      </w:r>
    </w:p>
    <w:p>
      <w:pPr>
        <w:widowControl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第四章 资源开发与产业布局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可更新资源（水、土、气、生物）开发与农业布局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可更新资源空间组合特点与农业分布，温度带与熟制空间差异，“南水北调”中、东线工程与华北缺水问题综合分析。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能源与开发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中国煤、油、天然气分布与开发利用，清洁可再生能源（光、风、潮汐）的分布与开发前景分析，中国水能资源富集特征与地理环境相关性分析，中国能源结构综合分析与能源战略。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矿产资源与开发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中国矿产资源区域组合特征与工业布局相关性分析，“资源型”城镇及可持续发展途经分析，资源开发与循环经济。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第四节 人类遗产资源与开发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人类遗产与地理环境相关影响分析，旅游资源空间组合及差异分析。</w:t>
      </w:r>
    </w:p>
    <w:p>
      <w:pPr>
        <w:widowControl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第五章 交通网布局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中国铁路、公路、内河航运网络空间特征。</w:t>
      </w:r>
    </w:p>
    <w:p>
      <w:pPr>
        <w:widowControl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第六章 工业布局与工业化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工业结构演进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新中国成立后工业部门结构和空间结构演进阶段、特征及原因分析，改革开放前后工业布局战略指导思想的异同分析，改革开放后中国东部四大工业基地集聚特征及形成的综合因素分析。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区域开发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重点开发地域演化阶段特点及评价，“西部大开发”“振兴东北老工业基地”的战略评价，沿海外向型开发的后续拓展分析。</w:t>
      </w:r>
    </w:p>
    <w:p>
      <w:pPr>
        <w:widowControl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第七章 中国地理区划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第一节 中国自然区划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综合自然区划理论基础——地域分异规律辨析，区划原则---方法体系，中国三大区演化特征及区内分异，重要地理界线及地理意义。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第二节 中国行政区划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行政区划概念体系、区划原则，中国行政区划的演化及阶段特征，区划现状及存在的问题综合分析，行政区划调整的途经分析。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第三节 中国经济区划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经济区划原则，新中国政府经济区划演进。</w:t>
      </w:r>
    </w:p>
    <w:p>
      <w:pPr>
        <w:widowControl/>
        <w:ind w:firstLine="316" w:firstLineChars="150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第四节 综合地理分区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自然、经济、行政（政治）空间异质性分析，全国综合区划的可能性分析，以生活或熟悉地域为例进行单一或综合地理区划实例分析。</w:t>
      </w:r>
    </w:p>
    <w:p>
      <w:pPr>
        <w:widowControl/>
        <w:jc w:val="left"/>
        <w:rPr>
          <w:rFonts w:hint="eastAsia" w:ascii="仿宋_GB2312" w:hAnsi="宋体" w:eastAsia="仿宋_GB2312"/>
          <w:b/>
          <w:bCs/>
          <w:szCs w:val="21"/>
        </w:rPr>
      </w:pPr>
      <w:r>
        <w:rPr>
          <w:rFonts w:hint="eastAsia" w:ascii="仿宋_GB2312" w:hAnsi="宋体" w:eastAsia="仿宋_GB2312"/>
          <w:b/>
          <w:bCs/>
          <w:szCs w:val="21"/>
        </w:rPr>
        <w:t>第八章 区域分析实证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三大自然区自然条件、经济发展开发利用中的主要问题及区域发展方向综合分析，三大区自然格局及演进中主要的自然地理过程分析。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</w:p>
    <w:p>
      <w:pPr>
        <w:widowControl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参考书目：</w:t>
      </w:r>
    </w:p>
    <w:p>
      <w:pPr>
        <w:widowControl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1、王静爱，中国地理教程（第一版），</w:t>
      </w:r>
      <w:r>
        <w:rPr>
          <w:rFonts w:hint="eastAsia" w:eastAsia="仿宋_GB2312"/>
          <w:bCs/>
          <w:szCs w:val="21"/>
        </w:rPr>
        <w:t>高等教育出版社</w:t>
      </w:r>
      <w:r>
        <w:rPr>
          <w:rFonts w:hint="eastAsia" w:ascii="仿宋_GB2312" w:hAnsi="宋体" w:eastAsia="仿宋_GB2312"/>
          <w:szCs w:val="21"/>
        </w:rPr>
        <w:t>，2007</w:t>
      </w:r>
    </w:p>
    <w:p>
      <w:pPr>
        <w:widowControl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2、赵济，陈传康，中国地理（第一版），</w:t>
      </w:r>
      <w:r>
        <w:rPr>
          <w:rFonts w:hint="eastAsia" w:eastAsia="仿宋_GB2312"/>
          <w:bCs/>
          <w:szCs w:val="21"/>
        </w:rPr>
        <w:t>高等教育出版社</w:t>
      </w:r>
      <w:r>
        <w:rPr>
          <w:rFonts w:hint="eastAsia" w:ascii="仿宋_GB2312" w:hAnsi="宋体" w:eastAsia="仿宋_GB2312"/>
          <w:szCs w:val="21"/>
        </w:rPr>
        <w:t>，1999</w:t>
      </w:r>
    </w:p>
    <w:sectPr>
      <w:pgSz w:w="11906" w:h="16838"/>
      <w:pgMar w:top="1588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xNTEyMGI5OTY0ZmZjOWM0ZTUyMTk5ZGYyNjBlZDMifQ=="/>
  </w:docVars>
  <w:rsids>
    <w:rsidRoot w:val="000D6ED4"/>
    <w:rsid w:val="00007BA9"/>
    <w:rsid w:val="00044AE2"/>
    <w:rsid w:val="000650C1"/>
    <w:rsid w:val="0007385F"/>
    <w:rsid w:val="00083C81"/>
    <w:rsid w:val="000A7E07"/>
    <w:rsid w:val="000B1485"/>
    <w:rsid w:val="000D6ED4"/>
    <w:rsid w:val="000E2325"/>
    <w:rsid w:val="0010039D"/>
    <w:rsid w:val="0014776D"/>
    <w:rsid w:val="00155BA2"/>
    <w:rsid w:val="00167D1B"/>
    <w:rsid w:val="00182132"/>
    <w:rsid w:val="001974F5"/>
    <w:rsid w:val="00197A98"/>
    <w:rsid w:val="001A0467"/>
    <w:rsid w:val="001A6D54"/>
    <w:rsid w:val="001B2652"/>
    <w:rsid w:val="001D4A0D"/>
    <w:rsid w:val="001F7EBC"/>
    <w:rsid w:val="002036CF"/>
    <w:rsid w:val="0026441C"/>
    <w:rsid w:val="00273F90"/>
    <w:rsid w:val="00290800"/>
    <w:rsid w:val="00291FAC"/>
    <w:rsid w:val="0032206E"/>
    <w:rsid w:val="00337CFC"/>
    <w:rsid w:val="003633A7"/>
    <w:rsid w:val="003668C9"/>
    <w:rsid w:val="00374AE1"/>
    <w:rsid w:val="00396ECE"/>
    <w:rsid w:val="003B188A"/>
    <w:rsid w:val="003B4B0B"/>
    <w:rsid w:val="003D4B4E"/>
    <w:rsid w:val="003E41AC"/>
    <w:rsid w:val="0041366D"/>
    <w:rsid w:val="004224D3"/>
    <w:rsid w:val="00452DD1"/>
    <w:rsid w:val="00455716"/>
    <w:rsid w:val="00495B1C"/>
    <w:rsid w:val="004C6481"/>
    <w:rsid w:val="00504696"/>
    <w:rsid w:val="00513C1C"/>
    <w:rsid w:val="00523D60"/>
    <w:rsid w:val="0056145C"/>
    <w:rsid w:val="00567084"/>
    <w:rsid w:val="00616B04"/>
    <w:rsid w:val="00631D48"/>
    <w:rsid w:val="00681475"/>
    <w:rsid w:val="006817D1"/>
    <w:rsid w:val="006901E6"/>
    <w:rsid w:val="006B05FE"/>
    <w:rsid w:val="006B6BB6"/>
    <w:rsid w:val="006D3598"/>
    <w:rsid w:val="00723A76"/>
    <w:rsid w:val="0072728D"/>
    <w:rsid w:val="007348AF"/>
    <w:rsid w:val="00735FCA"/>
    <w:rsid w:val="00746265"/>
    <w:rsid w:val="00755D09"/>
    <w:rsid w:val="0076037B"/>
    <w:rsid w:val="0076708D"/>
    <w:rsid w:val="00797615"/>
    <w:rsid w:val="007A0B36"/>
    <w:rsid w:val="007B33DE"/>
    <w:rsid w:val="007D5D81"/>
    <w:rsid w:val="007E66DA"/>
    <w:rsid w:val="0084180B"/>
    <w:rsid w:val="00842294"/>
    <w:rsid w:val="008544C2"/>
    <w:rsid w:val="00856BA6"/>
    <w:rsid w:val="008920FD"/>
    <w:rsid w:val="008A105B"/>
    <w:rsid w:val="008A58E7"/>
    <w:rsid w:val="008D3366"/>
    <w:rsid w:val="008D68CC"/>
    <w:rsid w:val="008F295C"/>
    <w:rsid w:val="00926A9A"/>
    <w:rsid w:val="00952326"/>
    <w:rsid w:val="009529C1"/>
    <w:rsid w:val="009551A6"/>
    <w:rsid w:val="00960B63"/>
    <w:rsid w:val="00973D1F"/>
    <w:rsid w:val="009C28A9"/>
    <w:rsid w:val="009D2682"/>
    <w:rsid w:val="009F1A5E"/>
    <w:rsid w:val="00A05649"/>
    <w:rsid w:val="00A10AC3"/>
    <w:rsid w:val="00A132C6"/>
    <w:rsid w:val="00A162A5"/>
    <w:rsid w:val="00A26125"/>
    <w:rsid w:val="00A309FD"/>
    <w:rsid w:val="00A30CD8"/>
    <w:rsid w:val="00A6672B"/>
    <w:rsid w:val="00A837EE"/>
    <w:rsid w:val="00A973DA"/>
    <w:rsid w:val="00AC4E68"/>
    <w:rsid w:val="00AF58CD"/>
    <w:rsid w:val="00AF6C9F"/>
    <w:rsid w:val="00B06B89"/>
    <w:rsid w:val="00B17978"/>
    <w:rsid w:val="00B73EA8"/>
    <w:rsid w:val="00BB3E9C"/>
    <w:rsid w:val="00BC05D2"/>
    <w:rsid w:val="00BE6F1B"/>
    <w:rsid w:val="00BF6641"/>
    <w:rsid w:val="00C41C30"/>
    <w:rsid w:val="00C87622"/>
    <w:rsid w:val="00CD102E"/>
    <w:rsid w:val="00CE0DC2"/>
    <w:rsid w:val="00D031A6"/>
    <w:rsid w:val="00D3025A"/>
    <w:rsid w:val="00D5499A"/>
    <w:rsid w:val="00D73F07"/>
    <w:rsid w:val="00D825EC"/>
    <w:rsid w:val="00E006C2"/>
    <w:rsid w:val="00E0535D"/>
    <w:rsid w:val="00E16F6A"/>
    <w:rsid w:val="00E22AB7"/>
    <w:rsid w:val="00E575BD"/>
    <w:rsid w:val="00E703E4"/>
    <w:rsid w:val="00E75068"/>
    <w:rsid w:val="00ED5C9A"/>
    <w:rsid w:val="00F15D28"/>
    <w:rsid w:val="00F742B0"/>
    <w:rsid w:val="00F8294F"/>
    <w:rsid w:val="00FA1859"/>
    <w:rsid w:val="00FA563C"/>
    <w:rsid w:val="00FC789D"/>
    <w:rsid w:val="00FE4954"/>
    <w:rsid w:val="11B74A14"/>
    <w:rsid w:val="26A565C1"/>
    <w:rsid w:val="575966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0"/>
    <w:pPr>
      <w:ind w:firstLine="432"/>
    </w:pPr>
    <w:rPr>
      <w:kern w:val="0"/>
      <w:sz w:val="20"/>
      <w:szCs w:val="20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正文文本缩进 Char"/>
    <w:link w:val="2"/>
    <w:uiPriority w:val="0"/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  <w:style w:type="character" w:customStyle="1" w:styleId="12">
    <w:name w:val="正文文本缩进 字符1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999宝藏网</Company>
  <Pages>3</Pages>
  <Words>252</Words>
  <Characters>1443</Characters>
  <Lines>12</Lines>
  <Paragraphs>3</Paragraphs>
  <TotalTime>0</TotalTime>
  <ScaleCrop>false</ScaleCrop>
  <LinksUpToDate>false</LinksUpToDate>
  <CharactersWithSpaces>1692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2011-01-05T08:36:00Z</dcterms:created>
  <dc:creator>Admin</dc:creator>
  <cp:lastModifiedBy>vertesyuan</cp:lastModifiedBy>
  <cp:lastPrinted>2010-09-25T07:47:00Z</cp:lastPrinted>
  <dcterms:modified xsi:type="dcterms:W3CDTF">2022-09-08T07:15:02Z</dcterms:modified>
  <dc:title>关于做好全日制研究生入学考试考试科目大纲编制工作的通知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BDB6FCF8D59D499EB676D4FBD397A15E</vt:lpwstr>
  </property>
</Properties>
</file>