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400" w:lineRule="exact"/>
        <w:jc w:val="center"/>
        <w:rPr>
          <w:rFonts w:hint="eastAsia"/>
        </w:rPr>
      </w:pPr>
      <w:bookmarkStart w:id="2" w:name="_GoBack"/>
      <w:bookmarkEnd w:id="2"/>
    </w:p>
    <w:p>
      <w:pPr>
        <w:pStyle w:val="18"/>
        <w:spacing w:line="400" w:lineRule="exact"/>
        <w:jc w:val="center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2023年军队指挥学专业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hAnsi="宋体" w:eastAsia="方正小标宋简体"/>
          <w:sz w:val="44"/>
          <w:szCs w:val="44"/>
        </w:rPr>
        <w:t>资源与环境</w:t>
      </w:r>
      <w:r>
        <w:rPr>
          <w:rFonts w:hint="eastAsia" w:ascii="方正小标宋简体" w:eastAsia="方正小标宋简体"/>
          <w:sz w:val="44"/>
          <w:szCs w:val="44"/>
        </w:rPr>
        <w:t>专业应急救援方向）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《消防指挥综合》科目考试大纲</w:t>
      </w: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目</w:t>
      </w:r>
      <w:r>
        <w:rPr>
          <w:b/>
          <w:sz w:val="32"/>
          <w:szCs w:val="32"/>
        </w:rPr>
        <w:t xml:space="preserve">  </w:t>
      </w:r>
      <w:r>
        <w:rPr>
          <w:rFonts w:hAnsi="宋体"/>
          <w:b/>
          <w:sz w:val="32"/>
          <w:szCs w:val="32"/>
        </w:rPr>
        <w:t>录</w:t>
      </w:r>
    </w:p>
    <w:p>
      <w:pPr>
        <w:spacing w:line="440" w:lineRule="exact"/>
        <w:jc w:val="center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rFonts w:hint="eastAsia"/>
          <w:sz w:val="32"/>
          <w:szCs w:val="32"/>
        </w:rPr>
      </w:pPr>
    </w:p>
    <w:p>
      <w:pPr>
        <w:pStyle w:val="7"/>
        <w:tabs>
          <w:tab w:val="right" w:leader="dot" w:pos="8296"/>
        </w:tabs>
        <w:rPr>
          <w:sz w:val="32"/>
          <w:szCs w:val="32"/>
          <w:lang/>
        </w:rPr>
      </w:pPr>
      <w:r>
        <w:rPr>
          <w:rStyle w:val="14"/>
          <w:sz w:val="32"/>
          <w:szCs w:val="32"/>
          <w:lang/>
        </w:rPr>
        <w:fldChar w:fldCharType="begin"/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sz w:val="32"/>
          <w:szCs w:val="32"/>
          <w:lang/>
        </w:rPr>
        <w:instrText xml:space="preserve">HYPERLINK \l "_Toc367191041"</w:instrText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rStyle w:val="14"/>
          <w:sz w:val="32"/>
          <w:szCs w:val="32"/>
          <w:lang/>
        </w:rPr>
        <w:fldChar w:fldCharType="separate"/>
      </w:r>
      <w:r>
        <w:rPr>
          <w:rFonts w:hAnsi="宋体"/>
          <w:sz w:val="32"/>
          <w:szCs w:val="32"/>
        </w:rPr>
        <w:t>Ⅰ</w:t>
      </w:r>
      <w:r>
        <w:rPr>
          <w:sz w:val="32"/>
          <w:szCs w:val="32"/>
        </w:rPr>
        <w:t>.</w:t>
      </w:r>
      <w:r>
        <w:rPr>
          <w:rFonts w:hAnsi="宋体"/>
          <w:sz w:val="32"/>
          <w:szCs w:val="32"/>
        </w:rPr>
        <w:t>考查目标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>2</w:t>
      </w:r>
      <w:r>
        <w:rPr>
          <w:rStyle w:val="14"/>
          <w:sz w:val="32"/>
          <w:szCs w:val="32"/>
          <w:lang/>
        </w:rPr>
        <w:fldChar w:fldCharType="end"/>
      </w:r>
    </w:p>
    <w:p>
      <w:pPr>
        <w:pStyle w:val="7"/>
        <w:tabs>
          <w:tab w:val="right" w:leader="dot" w:pos="8296"/>
        </w:tabs>
        <w:rPr>
          <w:sz w:val="32"/>
          <w:szCs w:val="32"/>
          <w:lang/>
        </w:rPr>
      </w:pPr>
      <w:r>
        <w:rPr>
          <w:rFonts w:hAnsi="宋体"/>
          <w:sz w:val="32"/>
          <w:szCs w:val="32"/>
        </w:rPr>
        <w:t>Ⅱ</w:t>
      </w:r>
      <w:r>
        <w:rPr>
          <w:sz w:val="32"/>
          <w:szCs w:val="32"/>
        </w:rPr>
        <w:t>.</w:t>
      </w:r>
      <w:r>
        <w:rPr>
          <w:rFonts w:hAnsi="宋体"/>
          <w:sz w:val="32"/>
          <w:szCs w:val="32"/>
        </w:rPr>
        <w:t>考试形式和试卷结构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>2</w:t>
      </w:r>
    </w:p>
    <w:p>
      <w:pPr>
        <w:pStyle w:val="7"/>
        <w:tabs>
          <w:tab w:val="right" w:leader="dot" w:pos="8296"/>
        </w:tabs>
        <w:rPr>
          <w:sz w:val="32"/>
          <w:szCs w:val="32"/>
          <w:lang/>
        </w:rPr>
      </w:pPr>
      <w:r>
        <w:rPr>
          <w:rStyle w:val="14"/>
          <w:sz w:val="32"/>
          <w:szCs w:val="32"/>
          <w:lang/>
        </w:rPr>
        <w:fldChar w:fldCharType="begin"/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sz w:val="32"/>
          <w:szCs w:val="32"/>
          <w:lang/>
        </w:rPr>
        <w:instrText xml:space="preserve">HYPERLINK \l "_Toc367191043"</w:instrText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rStyle w:val="14"/>
          <w:sz w:val="32"/>
          <w:szCs w:val="32"/>
          <w:lang/>
        </w:rPr>
        <w:fldChar w:fldCharType="separate"/>
      </w:r>
      <w:r>
        <w:rPr>
          <w:rFonts w:hAnsi="宋体"/>
          <w:sz w:val="32"/>
          <w:szCs w:val="32"/>
        </w:rPr>
        <w:t>Ⅲ</w:t>
      </w:r>
      <w:r>
        <w:rPr>
          <w:sz w:val="32"/>
          <w:szCs w:val="32"/>
        </w:rPr>
        <w:t>.</w:t>
      </w:r>
      <w:r>
        <w:rPr>
          <w:rFonts w:hAnsi="宋体"/>
          <w:sz w:val="32"/>
          <w:szCs w:val="32"/>
        </w:rPr>
        <w:t>考查内容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>3</w:t>
      </w:r>
      <w:r>
        <w:rPr>
          <w:rStyle w:val="14"/>
          <w:sz w:val="32"/>
          <w:szCs w:val="32"/>
          <w:lang/>
        </w:rPr>
        <w:fldChar w:fldCharType="end"/>
      </w:r>
    </w:p>
    <w:p>
      <w:pPr>
        <w:pStyle w:val="7"/>
        <w:tabs>
          <w:tab w:val="right" w:leader="dot" w:pos="8296"/>
        </w:tabs>
        <w:rPr>
          <w:sz w:val="32"/>
          <w:szCs w:val="32"/>
          <w:lang/>
        </w:rPr>
      </w:pPr>
      <w:r>
        <w:rPr>
          <w:rStyle w:val="14"/>
          <w:sz w:val="32"/>
          <w:szCs w:val="32"/>
          <w:lang/>
        </w:rPr>
        <w:fldChar w:fldCharType="begin"/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sz w:val="32"/>
          <w:szCs w:val="32"/>
          <w:lang/>
        </w:rPr>
        <w:instrText xml:space="preserve">HYPERLINK \l "_Toc367191044"</w:instrText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rStyle w:val="14"/>
          <w:sz w:val="32"/>
          <w:szCs w:val="32"/>
          <w:lang/>
        </w:rPr>
        <w:fldChar w:fldCharType="separate"/>
      </w:r>
      <w:r>
        <w:rPr>
          <w:rFonts w:hAnsi="宋体"/>
          <w:sz w:val="32"/>
          <w:szCs w:val="32"/>
        </w:rPr>
        <w:t>Ⅳ</w:t>
      </w:r>
      <w:r>
        <w:rPr>
          <w:sz w:val="32"/>
          <w:szCs w:val="32"/>
        </w:rPr>
        <w:t>.</w:t>
      </w:r>
      <w:r>
        <w:rPr>
          <w:rFonts w:hAnsi="宋体"/>
          <w:sz w:val="32"/>
          <w:szCs w:val="32"/>
        </w:rPr>
        <w:t>参考</w:t>
      </w:r>
      <w:r>
        <w:rPr>
          <w:rFonts w:hint="eastAsia" w:hAnsi="宋体"/>
          <w:sz w:val="32"/>
          <w:szCs w:val="32"/>
        </w:rPr>
        <w:t>试题</w:t>
      </w:r>
      <w:r>
        <w:rPr>
          <w:sz w:val="32"/>
          <w:szCs w:val="32"/>
          <w:lang/>
        </w:rPr>
        <w:tab/>
      </w:r>
      <w:r>
        <w:rPr>
          <w:rStyle w:val="14"/>
          <w:sz w:val="32"/>
          <w:szCs w:val="32"/>
          <w:lang/>
        </w:rPr>
        <w:fldChar w:fldCharType="end"/>
      </w:r>
      <w:r>
        <w:rPr>
          <w:sz w:val="32"/>
          <w:szCs w:val="32"/>
        </w:rPr>
        <w:t>6</w:t>
      </w:r>
    </w:p>
    <w:p>
      <w:pPr>
        <w:pStyle w:val="7"/>
        <w:tabs>
          <w:tab w:val="right" w:leader="dot" w:pos="8296"/>
        </w:tabs>
        <w:rPr>
          <w:rStyle w:val="14"/>
          <w:sz w:val="32"/>
          <w:szCs w:val="32"/>
          <w:lang/>
        </w:rPr>
      </w:pPr>
      <w:r>
        <w:rPr>
          <w:rStyle w:val="14"/>
          <w:sz w:val="32"/>
          <w:szCs w:val="32"/>
          <w:lang/>
        </w:rPr>
        <w:fldChar w:fldCharType="begin"/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sz w:val="32"/>
          <w:szCs w:val="32"/>
          <w:lang/>
        </w:rPr>
        <w:instrText xml:space="preserve">HYPERLINK \l "_Toc367191045"</w:instrText>
      </w:r>
      <w:r>
        <w:rPr>
          <w:rStyle w:val="14"/>
          <w:sz w:val="32"/>
          <w:szCs w:val="32"/>
          <w:lang/>
        </w:rPr>
        <w:instrText xml:space="preserve"> </w:instrText>
      </w:r>
      <w:r>
        <w:rPr>
          <w:rStyle w:val="14"/>
          <w:sz w:val="32"/>
          <w:szCs w:val="32"/>
          <w:lang/>
        </w:rPr>
        <w:fldChar w:fldCharType="separate"/>
      </w:r>
      <w:r>
        <w:rPr>
          <w:rFonts w:hAnsi="宋体"/>
          <w:sz w:val="32"/>
          <w:szCs w:val="32"/>
        </w:rPr>
        <w:t>Ⅴ</w:t>
      </w:r>
      <w:r>
        <w:rPr>
          <w:sz w:val="32"/>
          <w:szCs w:val="32"/>
        </w:rPr>
        <w:t>.</w:t>
      </w:r>
      <w:r>
        <w:rPr>
          <w:rFonts w:hAnsi="宋体"/>
          <w:sz w:val="32"/>
          <w:szCs w:val="32"/>
        </w:rPr>
        <w:t>参考书目</w:t>
      </w:r>
      <w:r>
        <w:rPr>
          <w:sz w:val="32"/>
          <w:szCs w:val="32"/>
          <w:lang/>
        </w:rPr>
        <w:tab/>
      </w:r>
      <w:r>
        <w:rPr>
          <w:rStyle w:val="14"/>
          <w:sz w:val="32"/>
          <w:szCs w:val="32"/>
          <w:lang/>
        </w:rPr>
        <w:fldChar w:fldCharType="end"/>
      </w:r>
      <w:r>
        <w:rPr>
          <w:sz w:val="32"/>
          <w:szCs w:val="32"/>
        </w:rPr>
        <w:t>10</w:t>
      </w:r>
    </w:p>
    <w:p>
      <w:pPr>
        <w:pStyle w:val="18"/>
        <w:rPr>
          <w:rFonts w:hint="eastAsia"/>
        </w:rPr>
      </w:pPr>
    </w:p>
    <w:p>
      <w:pPr>
        <w:pStyle w:val="18"/>
        <w:rPr>
          <w:rFonts w:hint="eastAsia"/>
        </w:rPr>
      </w:pPr>
    </w:p>
    <w:p>
      <w:pPr>
        <w:pStyle w:val="9"/>
        <w:spacing w:before="480" w:beforeAutospacing="0" w:after="120" w:afterAutospacing="0"/>
        <w:jc w:val="center"/>
        <w:rPr>
          <w:rFonts w:hint="eastAsia" w:ascii="黑体" w:hAnsi="Arial" w:eastAsia="黑体" w:cs="Arial"/>
          <w:b/>
          <w:kern w:val="2"/>
          <w:sz w:val="28"/>
          <w:szCs w:val="28"/>
        </w:rPr>
      </w:pPr>
      <w:r>
        <w:rPr>
          <w:rFonts w:hint="eastAsia" w:ascii="黑体" w:hAnsi="Batang" w:eastAsia="黑体" w:cs="Arial"/>
          <w:b/>
          <w:kern w:val="2"/>
          <w:sz w:val="28"/>
          <w:szCs w:val="28"/>
        </w:rPr>
        <w:t>Ⅰ.</w:t>
      </w:r>
      <w:r>
        <w:rPr>
          <w:rFonts w:hint="eastAsia" w:ascii="黑体" w:hAnsi="Arial" w:eastAsia="黑体" w:cs="Arial"/>
          <w:b/>
          <w:kern w:val="2"/>
          <w:sz w:val="28"/>
          <w:szCs w:val="28"/>
        </w:rPr>
        <w:t xml:space="preserve">考 查 目 标 </w:t>
      </w:r>
    </w:p>
    <w:p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本科目为综合科目，包括灭火战术。要求考生准确把握灭火战术的基础知识，具备专业素质及分析、判断、解决问题的基本能力。具体包括：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 w:cs="Tahoma"/>
        </w:rPr>
      </w:pPr>
      <w:r>
        <w:rPr>
          <w:rFonts w:hint="eastAsia"/>
        </w:rPr>
        <w:t xml:space="preserve">    </w:t>
      </w:r>
      <w:r>
        <w:rPr>
          <w:rFonts w:hint="eastAsia" w:cs="Tahoma"/>
        </w:rPr>
        <w:t>1.准确识记灭火战术的基本概念和基础知识；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 w:cs="Tahoma"/>
        </w:rPr>
      </w:pPr>
      <w:r>
        <w:rPr>
          <w:rFonts w:hint="eastAsia"/>
        </w:rPr>
        <w:t xml:space="preserve">    </w:t>
      </w:r>
      <w:r>
        <w:rPr>
          <w:rFonts w:hint="eastAsia" w:cs="Tahoma"/>
        </w:rPr>
        <w:t>2.正确理解和掌握灭火救援的基本原则、程序和方法；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 w:cs="Tahoma"/>
        </w:rPr>
      </w:pPr>
      <w:r>
        <w:rPr>
          <w:rFonts w:hint="eastAsia"/>
        </w:rPr>
        <w:t xml:space="preserve">    </w:t>
      </w:r>
      <w:r>
        <w:rPr>
          <w:rFonts w:hint="eastAsia" w:cs="Tahoma"/>
        </w:rPr>
        <w:t>3.熟知各类典型火灾事故的特点；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 w:cs="Tahoma"/>
        </w:rPr>
      </w:pPr>
      <w:r>
        <w:rPr>
          <w:rFonts w:hint="eastAsia"/>
        </w:rPr>
        <w:t xml:space="preserve">    </w:t>
      </w:r>
      <w:r>
        <w:rPr>
          <w:rFonts w:hint="eastAsia" w:cs="Tahoma"/>
        </w:rPr>
        <w:t>4.熟知灭火救援行动的基本规律和要求；</w:t>
      </w:r>
    </w:p>
    <w:p>
      <w:pPr>
        <w:pStyle w:val="9"/>
        <w:spacing w:before="0" w:beforeAutospacing="0" w:after="0" w:afterAutospacing="0" w:line="440" w:lineRule="exact"/>
        <w:ind w:firstLine="480"/>
        <w:jc w:val="both"/>
        <w:rPr>
          <w:rFonts w:hint="eastAsia"/>
        </w:rPr>
      </w:pPr>
      <w:r>
        <w:rPr>
          <w:rFonts w:hint="eastAsia"/>
        </w:rPr>
        <w:t>5.能够运用</w:t>
      </w:r>
      <w:r>
        <w:rPr>
          <w:rFonts w:hint="eastAsia" w:cs="Tahoma"/>
        </w:rPr>
        <w:t>灭火战术的基本理论分析</w:t>
      </w:r>
      <w:r>
        <w:rPr>
          <w:rFonts w:hint="eastAsia"/>
        </w:rPr>
        <w:t>和解决有关理论和实践问题。</w:t>
      </w:r>
    </w:p>
    <w:p>
      <w:pPr>
        <w:pStyle w:val="9"/>
        <w:spacing w:before="0" w:beforeAutospacing="0" w:after="0" w:afterAutospacing="0" w:line="440" w:lineRule="exact"/>
        <w:ind w:firstLine="480"/>
        <w:jc w:val="both"/>
        <w:rPr>
          <w:rFonts w:hint="eastAsia" w:cs="Tahoma"/>
        </w:rPr>
      </w:pPr>
    </w:p>
    <w:p>
      <w:pPr>
        <w:pStyle w:val="9"/>
        <w:spacing w:before="480" w:beforeAutospacing="0" w:after="120" w:afterAutospacing="0"/>
        <w:jc w:val="center"/>
        <w:rPr>
          <w:rFonts w:hint="eastAsia" w:ascii="黑体" w:hAnsi="Arial" w:eastAsia="黑体" w:cs="Arial"/>
          <w:b/>
          <w:kern w:val="2"/>
          <w:sz w:val="28"/>
          <w:szCs w:val="28"/>
        </w:rPr>
      </w:pPr>
      <w:r>
        <w:rPr>
          <w:rFonts w:hint="eastAsia" w:ascii="黑体" w:hAnsi="Batang" w:eastAsia="黑体" w:cs="Arial"/>
          <w:b/>
          <w:kern w:val="2"/>
          <w:sz w:val="28"/>
          <w:szCs w:val="28"/>
        </w:rPr>
        <w:t>Ⅱ</w:t>
      </w:r>
      <w:r>
        <w:rPr>
          <w:rFonts w:hint="eastAsia" w:ascii="黑体" w:hAnsi="Arial" w:eastAsia="黑体" w:cs="Arial"/>
          <w:b/>
          <w:kern w:val="2"/>
          <w:sz w:val="28"/>
          <w:szCs w:val="28"/>
        </w:rPr>
        <w:t>.考 试 形 式 和 试 卷 结 构</w:t>
      </w:r>
    </w:p>
    <w:p>
      <w:pPr>
        <w:pStyle w:val="9"/>
        <w:numPr>
          <w:ilvl w:val="0"/>
          <w:numId w:val="1"/>
        </w:numPr>
        <w:spacing w:before="120" w:beforeAutospacing="0" w:after="120" w:afterAutospacing="0"/>
        <w:jc w:val="both"/>
        <w:rPr>
          <w:rFonts w:hint="eastAsia" w:ascii="黑体" w:hAnsi="Arial" w:eastAsia="黑体" w:cs="Arial"/>
          <w:kern w:val="2"/>
        </w:rPr>
      </w:pPr>
      <w:r>
        <w:rPr>
          <w:rFonts w:hint="eastAsia" w:ascii="黑体" w:hAnsi="Arial" w:eastAsia="黑体" w:cs="Arial"/>
          <w:kern w:val="2"/>
        </w:rPr>
        <w:t>试卷满分及考试时间</w:t>
      </w:r>
    </w:p>
    <w:p>
      <w:pPr>
        <w:pStyle w:val="9"/>
        <w:spacing w:before="120" w:beforeAutospacing="0" w:after="120" w:afterAutospacing="0"/>
        <w:jc w:val="both"/>
        <w:rPr>
          <w:rFonts w:hint="eastAsia" w:cs="Arial"/>
          <w:kern w:val="2"/>
        </w:rPr>
      </w:pPr>
      <w:r>
        <w:rPr>
          <w:rFonts w:hint="eastAsia" w:ascii="黑体" w:hAnsi="Arial" w:eastAsia="黑体" w:cs="Arial"/>
          <w:kern w:val="2"/>
        </w:rPr>
        <w:t xml:space="preserve">    </w:t>
      </w:r>
      <w:r>
        <w:rPr>
          <w:rFonts w:hint="eastAsia" w:cs="Arial"/>
          <w:kern w:val="2"/>
        </w:rPr>
        <w:t>本试卷满分为150分，考试时间为180分钟。</w:t>
      </w:r>
    </w:p>
    <w:p>
      <w:pPr>
        <w:pStyle w:val="9"/>
        <w:numPr>
          <w:ilvl w:val="0"/>
          <w:numId w:val="1"/>
        </w:numPr>
        <w:spacing w:before="120" w:beforeAutospacing="0" w:after="120" w:afterAutospacing="0"/>
        <w:jc w:val="both"/>
        <w:rPr>
          <w:rFonts w:hint="eastAsia" w:ascii="黑体" w:hAnsi="黑体" w:eastAsia="黑体" w:cs="Arial"/>
          <w:kern w:val="2"/>
        </w:rPr>
      </w:pPr>
      <w:r>
        <w:rPr>
          <w:rFonts w:hint="eastAsia" w:ascii="黑体" w:hAnsi="黑体" w:eastAsia="黑体" w:cs="Arial"/>
          <w:kern w:val="2"/>
        </w:rPr>
        <w:t>答题方式</w:t>
      </w:r>
    </w:p>
    <w:p>
      <w:pPr>
        <w:pStyle w:val="9"/>
        <w:spacing w:before="120" w:beforeAutospacing="0" w:after="120" w:afterAutospacing="0"/>
        <w:jc w:val="both"/>
        <w:rPr>
          <w:rFonts w:hint="eastAsia" w:cs="Arial"/>
          <w:kern w:val="2"/>
        </w:rPr>
      </w:pPr>
      <w:r>
        <w:rPr>
          <w:rFonts w:hint="eastAsia" w:cs="Arial"/>
          <w:kern w:val="2"/>
        </w:rPr>
        <w:t xml:space="preserve">    答题方式为闭卷、笔试。</w:t>
      </w:r>
    </w:p>
    <w:p>
      <w:pPr>
        <w:pStyle w:val="9"/>
        <w:numPr>
          <w:ilvl w:val="0"/>
          <w:numId w:val="1"/>
        </w:numPr>
        <w:spacing w:before="120" w:beforeAutospacing="0" w:after="120" w:afterAutospacing="0"/>
        <w:jc w:val="both"/>
        <w:rPr>
          <w:rFonts w:hint="eastAsia" w:ascii="黑体" w:hAnsi="黑体" w:eastAsia="黑体" w:cs="Arial"/>
          <w:kern w:val="2"/>
        </w:rPr>
      </w:pPr>
      <w:r>
        <w:rPr>
          <w:rFonts w:hint="eastAsia" w:ascii="黑体" w:hAnsi="黑体" w:eastAsia="黑体" w:cs="Arial"/>
          <w:kern w:val="2"/>
        </w:rPr>
        <w:t>试卷内容结构</w:t>
      </w:r>
    </w:p>
    <w:p>
      <w:pPr>
        <w:pStyle w:val="9"/>
        <w:spacing w:before="120" w:beforeAutospacing="0" w:after="120" w:afterAutospacing="0" w:line="0" w:lineRule="atLeast"/>
        <w:jc w:val="both"/>
        <w:rPr>
          <w:rFonts w:hint="eastAsia" w:cs="Arial"/>
          <w:kern w:val="2"/>
        </w:rPr>
      </w:pPr>
      <w:r>
        <w:rPr>
          <w:rFonts w:hint="eastAsia" w:cs="Arial"/>
          <w:kern w:val="2"/>
        </w:rPr>
        <w:t xml:space="preserve">    灭火战术             150分</w:t>
      </w:r>
    </w:p>
    <w:p>
      <w:pPr>
        <w:pStyle w:val="9"/>
        <w:spacing w:before="120" w:beforeAutospacing="0" w:after="120" w:afterAutospacing="0"/>
        <w:jc w:val="both"/>
        <w:rPr>
          <w:rFonts w:hint="eastAsia" w:ascii="黑体" w:hAnsi="黑体" w:eastAsia="黑体" w:cs="Arial"/>
          <w:kern w:val="2"/>
        </w:rPr>
      </w:pPr>
      <w:r>
        <w:rPr>
          <w:rFonts w:hint="eastAsia" w:ascii="黑体" w:hAnsi="黑体" w:eastAsia="黑体" w:cs="Arial"/>
          <w:kern w:val="2"/>
        </w:rPr>
        <w:t>四、试卷题型结构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cs="Arial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1.简答题：12小题，每小题5分，共60分。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2.论述题：4小题，每小题10分，共40分。</w:t>
      </w:r>
    </w:p>
    <w:p>
      <w:pPr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3.应用题：2小题，每小题25分，共50分。</w:t>
      </w:r>
    </w:p>
    <w:p>
      <w:pPr>
        <w:pStyle w:val="9"/>
        <w:spacing w:before="480" w:beforeAutospacing="0" w:after="120" w:afterAutospacing="0"/>
        <w:jc w:val="center"/>
        <w:rPr>
          <w:rFonts w:hint="eastAsia" w:ascii="黑体" w:hAnsi="Batang" w:eastAsia="黑体" w:cs="Arial"/>
          <w:b/>
          <w:kern w:val="2"/>
          <w:sz w:val="28"/>
          <w:szCs w:val="28"/>
        </w:rPr>
      </w:pPr>
    </w:p>
    <w:p>
      <w:pPr>
        <w:pStyle w:val="9"/>
        <w:spacing w:before="480" w:beforeAutospacing="0" w:after="120" w:afterAutospacing="0"/>
        <w:jc w:val="center"/>
        <w:rPr>
          <w:rFonts w:hint="eastAsia" w:ascii="黑体" w:hAnsi="Batang" w:eastAsia="黑体" w:cs="Arial"/>
          <w:b/>
          <w:kern w:val="2"/>
          <w:sz w:val="28"/>
          <w:szCs w:val="28"/>
        </w:rPr>
      </w:pPr>
    </w:p>
    <w:p>
      <w:pPr>
        <w:pStyle w:val="9"/>
        <w:spacing w:before="480" w:beforeAutospacing="0" w:after="120" w:afterAutospacing="0"/>
        <w:jc w:val="center"/>
        <w:rPr>
          <w:rFonts w:hint="eastAsia" w:ascii="黑体" w:hAnsi="Batang" w:eastAsia="黑体" w:cs="Arial"/>
          <w:b/>
          <w:kern w:val="2"/>
          <w:sz w:val="28"/>
          <w:szCs w:val="28"/>
        </w:rPr>
      </w:pPr>
    </w:p>
    <w:p>
      <w:pPr>
        <w:pStyle w:val="9"/>
        <w:spacing w:before="480" w:beforeAutospacing="0" w:after="120" w:afterAutospacing="0"/>
        <w:jc w:val="center"/>
        <w:rPr>
          <w:rFonts w:hint="eastAsia" w:ascii="黑体" w:hAnsi="Batang" w:eastAsia="黑体" w:cs="Arial"/>
          <w:b/>
          <w:kern w:val="2"/>
          <w:sz w:val="28"/>
          <w:szCs w:val="28"/>
        </w:rPr>
      </w:pPr>
    </w:p>
    <w:p>
      <w:pPr>
        <w:pStyle w:val="9"/>
        <w:spacing w:before="480" w:beforeAutospacing="0" w:after="120" w:afterAutospacing="0"/>
        <w:jc w:val="center"/>
        <w:rPr>
          <w:rFonts w:hint="eastAsia" w:ascii="黑体" w:hAnsi="Arial" w:eastAsia="黑体" w:cs="Arial"/>
          <w:b/>
          <w:kern w:val="2"/>
          <w:sz w:val="28"/>
          <w:szCs w:val="28"/>
        </w:rPr>
      </w:pPr>
      <w:r>
        <w:rPr>
          <w:rFonts w:hint="eastAsia" w:ascii="黑体" w:hAnsi="Batang" w:eastAsia="黑体" w:cs="Arial"/>
          <w:b/>
          <w:kern w:val="2"/>
          <w:sz w:val="28"/>
          <w:szCs w:val="28"/>
        </w:rPr>
        <w:t>Ⅲ</w:t>
      </w:r>
      <w:r>
        <w:rPr>
          <w:rFonts w:hint="eastAsia" w:ascii="黑体" w:hAnsi="Arial" w:eastAsia="黑体" w:cs="Arial"/>
          <w:b/>
          <w:kern w:val="2"/>
          <w:sz w:val="28"/>
          <w:szCs w:val="28"/>
        </w:rPr>
        <w:t>.考 查 内 容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一、绪论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（一）火灾及火灾扑救 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（二）灭火战术基本内涵 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（三）灭火战术研究内容和方法 </w:t>
      </w:r>
    </w:p>
    <w:p>
      <w:pPr>
        <w:pStyle w:val="9"/>
        <w:spacing w:before="0" w:beforeAutospacing="0" w:after="0" w:afterAutospacing="0" w:line="440" w:lineRule="exact"/>
        <w:jc w:val="both"/>
        <w:rPr>
          <w:kern w:val="2"/>
        </w:rPr>
      </w:pPr>
      <w:r>
        <w:rPr>
          <w:rFonts w:hint="eastAsia" w:cs="黑体"/>
          <w:kern w:val="2"/>
        </w:rPr>
        <w:t xml:space="preserve">二、灭火救援行动的指导思想 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  <w:kern w:val="2"/>
        </w:rPr>
      </w:pPr>
      <w:r>
        <w:rPr>
          <w:rFonts w:hint="eastAsia"/>
        </w:rPr>
        <w:t>（一）</w:t>
      </w:r>
      <w:r>
        <w:rPr>
          <w:rFonts w:hint="eastAsia"/>
          <w:kern w:val="2"/>
        </w:rPr>
        <w:t xml:space="preserve">指导思想的内涵 </w:t>
      </w:r>
    </w:p>
    <w:p>
      <w:pPr>
        <w:pStyle w:val="9"/>
        <w:spacing w:before="0" w:beforeAutospacing="0" w:after="0" w:afterAutospacing="0" w:line="440" w:lineRule="exact"/>
        <w:jc w:val="both"/>
        <w:rPr>
          <w:kern w:val="2"/>
        </w:rPr>
      </w:pPr>
      <w:r>
        <w:rPr>
          <w:rFonts w:hint="eastAsia"/>
        </w:rPr>
        <w:t>（二）</w:t>
      </w:r>
      <w:r>
        <w:rPr>
          <w:rFonts w:hint="eastAsia"/>
          <w:kern w:val="2"/>
        </w:rPr>
        <w:t xml:space="preserve">指导思想的内容和要求 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</w:rPr>
      </w:pPr>
      <w:r>
        <w:rPr>
          <w:rFonts w:hint="eastAsia"/>
        </w:rPr>
        <w:t xml:space="preserve">（三）指导思想的贯彻和应用 </w:t>
      </w:r>
    </w:p>
    <w:p>
      <w:pPr>
        <w:pStyle w:val="9"/>
        <w:spacing w:before="0" w:beforeAutospacing="0" w:after="0" w:afterAutospacing="0" w:line="440" w:lineRule="exact"/>
        <w:rPr>
          <w:rFonts w:hint="eastAsia" w:cs="Arial"/>
          <w:kern w:val="2"/>
        </w:rPr>
      </w:pPr>
      <w:r>
        <w:rPr>
          <w:rFonts w:hint="eastAsia" w:cs="Arial"/>
          <w:kern w:val="2"/>
        </w:rPr>
        <w:t>三、灭火战术基本原则和方法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  <w:kern w:val="2"/>
        </w:rPr>
      </w:pPr>
      <w:r>
        <w:rPr>
          <w:rFonts w:hint="eastAsia"/>
        </w:rPr>
        <w:t>（一）</w:t>
      </w:r>
      <w:r>
        <w:rPr>
          <w:rFonts w:hint="eastAsia"/>
          <w:kern w:val="2"/>
        </w:rPr>
        <w:t>灭火战术基本原则的内容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  <w:kern w:val="2"/>
        </w:rPr>
      </w:pPr>
      <w:r>
        <w:rPr>
          <w:rFonts w:hint="eastAsia"/>
        </w:rPr>
        <w:t>（二）</w:t>
      </w:r>
      <w:r>
        <w:rPr>
          <w:rFonts w:hint="eastAsia"/>
          <w:kern w:val="2"/>
        </w:rPr>
        <w:t>灭火战术基本原则的应用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  <w:kern w:val="2"/>
        </w:rPr>
      </w:pPr>
      <w:r>
        <w:rPr>
          <w:rFonts w:hint="eastAsia"/>
        </w:rPr>
        <w:t>（三）</w:t>
      </w:r>
      <w:r>
        <w:rPr>
          <w:rFonts w:hint="eastAsia"/>
          <w:kern w:val="2"/>
        </w:rPr>
        <w:t>灭火战术的基本方法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四、灭火战斗过程及其基本行动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（一）灭火战斗过程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（二）接警出动行动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（三）火场侦察行动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（四）灭火战斗展开行动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（五）火场救人行动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（六）控火与灭火行动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（七）火场供水行动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（八）火场物资抢救行动</w:t>
      </w:r>
    </w:p>
    <w:p>
      <w:pPr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bookmarkStart w:id="0" w:name="_Toc365485472"/>
      <w:r>
        <w:rPr>
          <w:rFonts w:hint="eastAsia" w:ascii="宋体" w:hAnsi="宋体"/>
          <w:sz w:val="24"/>
          <w:szCs w:val="24"/>
        </w:rPr>
        <w:t>五、建筑火灾扑救战法及其应用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（一）建筑火灾概述</w:t>
      </w:r>
    </w:p>
    <w:p>
      <w:pPr>
        <w:tabs>
          <w:tab w:val="center" w:pos="4506"/>
        </w:tabs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1.室内火灾蔓延的方式和途径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2.建筑结构倒塌破坏的原因、规律和征兆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3.建筑火灾的灭火基本方法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4.建筑火灾灭火战术措施的选择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（二）易燃结构建筑火灾扑救</w:t>
      </w:r>
    </w:p>
    <w:p>
      <w:pPr>
        <w:spacing w:line="440" w:lineRule="exact"/>
        <w:ind w:firstLine="477" w:firstLineChars="19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1．火灾发展蔓延及险情</w:t>
      </w:r>
    </w:p>
    <w:p>
      <w:pPr>
        <w:spacing w:line="440" w:lineRule="exact"/>
        <w:ind w:firstLine="482" w:firstLineChars="201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2．火灾扑救的战术方法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3．灭火行动要求及注意事项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（三）在建建筑火灾扑救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1．脚手架火灾危险性及特点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2．脚手架火灾扑救的战术方法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3．脚手架火灾的灭火行动要求及注意事项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（四）钢结构建筑火灾扑救</w:t>
      </w:r>
    </w:p>
    <w:p>
      <w:pPr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1．火灾危险性及特点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2．火灾扑救的战术方法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3．灭火行动要求及注意事项</w:t>
      </w:r>
    </w:p>
    <w:p>
      <w:pPr>
        <w:snapToGrid w:val="0"/>
        <w:spacing w:line="44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（五）高层建筑火灾扑救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1．火灾的发展蔓延及险情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kern w:val="2"/>
        </w:rPr>
      </w:pPr>
      <w:r>
        <w:rPr>
          <w:rFonts w:hint="eastAsia"/>
          <w:kern w:val="2"/>
        </w:rPr>
        <w:t>2．火灾扑救的战术方法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  <w:kern w:val="2"/>
        </w:rPr>
      </w:pPr>
      <w:r>
        <w:rPr>
          <w:rFonts w:hint="eastAsia"/>
          <w:kern w:val="2"/>
        </w:rPr>
        <w:t xml:space="preserve">    3．火灾扑救行动的组织与实施</w:t>
      </w:r>
    </w:p>
    <w:p>
      <w:pPr>
        <w:autoSpaceDE w:val="0"/>
        <w:autoSpaceDN w:val="0"/>
        <w:snapToGrid w:val="0"/>
        <w:spacing w:line="440" w:lineRule="exact"/>
        <w:ind w:right="21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4．灭火战斗行动要求及注意事项</w:t>
      </w:r>
    </w:p>
    <w:p>
      <w:pPr>
        <w:spacing w:line="440" w:lineRule="exact"/>
        <w:outlineLvl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（六）地下建筑火灾扑救</w:t>
      </w:r>
    </w:p>
    <w:p>
      <w:pPr>
        <w:pStyle w:val="9"/>
        <w:spacing w:before="0" w:beforeAutospacing="0" w:after="0" w:afterAutospacing="0" w:line="440" w:lineRule="exact"/>
        <w:ind w:firstLine="480" w:firstLineChars="200"/>
        <w:rPr>
          <w:rFonts w:hint="eastAsia"/>
          <w:kern w:val="2"/>
        </w:rPr>
      </w:pPr>
      <w:r>
        <w:rPr>
          <w:rFonts w:hint="eastAsia"/>
          <w:kern w:val="2"/>
        </w:rPr>
        <w:t>1．火灾的发展蔓延及特点</w:t>
      </w:r>
    </w:p>
    <w:p>
      <w:pPr>
        <w:pStyle w:val="9"/>
        <w:spacing w:before="0" w:beforeAutospacing="0" w:after="0" w:afterAutospacing="0" w:line="440" w:lineRule="exact"/>
        <w:ind w:firstLine="480" w:firstLineChars="200"/>
        <w:rPr>
          <w:rFonts w:hint="eastAsia"/>
          <w:kern w:val="2"/>
        </w:rPr>
      </w:pPr>
      <w:r>
        <w:rPr>
          <w:rFonts w:hint="eastAsia"/>
          <w:kern w:val="2"/>
        </w:rPr>
        <w:t>2．火灾扑救的战术方法</w:t>
      </w:r>
    </w:p>
    <w:p>
      <w:pPr>
        <w:pStyle w:val="8"/>
        <w:spacing w:line="440" w:lineRule="exact"/>
        <w:ind w:left="0"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3．地铁、铁路隧道火灾扑救</w:t>
      </w:r>
    </w:p>
    <w:bookmarkEnd w:id="0"/>
    <w:p>
      <w:pPr>
        <w:snapToGrid w:val="0"/>
        <w:spacing w:line="440" w:lineRule="exact"/>
        <w:outlineLvl w:val="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六、大型商场火灾扑救战法及其应用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1．火灾的发展蔓延及险情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2．火灾扑救的战术方法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3．火灾扑救行动的组织与实施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4．火灾扑救行动的安全注意事项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七、石油化工火灾扑救战法及其应用</w:t>
      </w:r>
    </w:p>
    <w:p>
      <w:pPr>
        <w:spacing w:line="440" w:lineRule="exac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（一）石油化工火灾概述 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1．石油化工火灾危险性</w:t>
      </w:r>
    </w:p>
    <w:p>
      <w:pPr>
        <w:pStyle w:val="9"/>
        <w:spacing w:before="0" w:beforeAutospacing="0" w:after="0" w:afterAutospacing="0" w:line="440" w:lineRule="exact"/>
        <w:jc w:val="both"/>
        <w:rPr>
          <w:kern w:val="2"/>
        </w:rPr>
      </w:pPr>
      <w:r>
        <w:rPr>
          <w:rFonts w:hint="eastAsia"/>
          <w:kern w:val="2"/>
        </w:rPr>
        <w:t xml:space="preserve">    2．石油化工火灾扑救的基本对策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（二）石油化工装置火灾扑救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1．火灾特点</w:t>
      </w:r>
    </w:p>
    <w:p>
      <w:pPr>
        <w:pStyle w:val="9"/>
        <w:tabs>
          <w:tab w:val="left" w:pos="1140"/>
        </w:tabs>
        <w:spacing w:before="0" w:beforeAutospacing="0" w:after="0" w:afterAutospacing="0" w:line="440" w:lineRule="exact"/>
        <w:jc w:val="both"/>
        <w:rPr>
          <w:rFonts w:hint="eastAsia"/>
          <w:kern w:val="2"/>
        </w:rPr>
      </w:pPr>
      <w:r>
        <w:rPr>
          <w:rFonts w:hint="eastAsia"/>
          <w:kern w:val="2"/>
        </w:rPr>
        <w:t xml:space="preserve">    2．火灾</w:t>
      </w:r>
      <w:r>
        <w:rPr>
          <w:rFonts w:hint="eastAsia"/>
        </w:rPr>
        <w:t>基本控制措施</w:t>
      </w:r>
    </w:p>
    <w:p>
      <w:pPr>
        <w:pStyle w:val="4"/>
        <w:spacing w:line="440" w:lineRule="exac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3．火灾扑救的</w:t>
      </w:r>
      <w:r>
        <w:rPr>
          <w:rFonts w:hAnsi="宋体"/>
          <w:sz w:val="24"/>
          <w:szCs w:val="24"/>
        </w:rPr>
        <w:t>战术方法</w:t>
      </w:r>
    </w:p>
    <w:p>
      <w:pPr>
        <w:spacing w:line="440" w:lineRule="exact"/>
        <w:ind w:right="105" w:rightChars="50"/>
        <w:jc w:val="left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4．塔设备火灾扑救</w:t>
      </w:r>
    </w:p>
    <w:p>
      <w:pPr>
        <w:pStyle w:val="2"/>
        <w:spacing w:before="0" w:beforeAutospacing="0" w:after="0" w:afterAutospacing="0" w:line="440" w:lineRule="exact"/>
        <w:ind w:right="105" w:rightChars="50"/>
        <w:rPr>
          <w:rFonts w:hint="eastAsia"/>
          <w:b w:val="0"/>
          <w:snapToGrid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   5．</w:t>
      </w:r>
      <w:r>
        <w:rPr>
          <w:rFonts w:hint="eastAsia"/>
          <w:b w:val="0"/>
          <w:snapToGrid w:val="0"/>
          <w:sz w:val="24"/>
          <w:szCs w:val="24"/>
        </w:rPr>
        <w:t>安全防护及注意事项</w:t>
      </w:r>
    </w:p>
    <w:p>
      <w:pPr>
        <w:pStyle w:val="9"/>
        <w:spacing w:before="0" w:beforeAutospacing="0" w:after="0" w:afterAutospacing="0" w:line="440" w:lineRule="exact"/>
        <w:rPr>
          <w:kern w:val="2"/>
        </w:rPr>
      </w:pPr>
      <w:r>
        <w:rPr>
          <w:rFonts w:hint="eastAsia"/>
          <w:kern w:val="2"/>
        </w:rPr>
        <w:t xml:space="preserve"> （三）石油库油罐火灾扑救</w:t>
      </w:r>
    </w:p>
    <w:p>
      <w:pPr>
        <w:spacing w:line="44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1．火灾危险特点</w:t>
      </w:r>
    </w:p>
    <w:p>
      <w:pPr>
        <w:spacing w:line="44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2．火灾基本类型</w:t>
      </w:r>
    </w:p>
    <w:p>
      <w:pPr>
        <w:spacing w:line="440" w:lineRule="exact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3．火灾主要险情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z w:val="24"/>
          <w:szCs w:val="24"/>
          <w:shd w:val="clear" w:color="auto" w:fill="FFFFFF"/>
        </w:rPr>
        <w:t xml:space="preserve">  4．</w:t>
      </w:r>
      <w:r>
        <w:rPr>
          <w:rFonts w:hint="eastAsia" w:ascii="宋体" w:hAnsi="宋体"/>
          <w:sz w:val="24"/>
          <w:szCs w:val="24"/>
        </w:rPr>
        <w:t>火灾扑救的战术方法</w:t>
      </w:r>
    </w:p>
    <w:p>
      <w:pPr>
        <w:spacing w:line="440" w:lineRule="exact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5．典型油罐初期火灾扑救</w:t>
      </w:r>
    </w:p>
    <w:p>
      <w:pPr>
        <w:pStyle w:val="9"/>
        <w:spacing w:before="0" w:beforeAutospacing="0" w:after="0" w:afterAutospacing="0" w:line="440" w:lineRule="exact"/>
        <w:jc w:val="both"/>
        <w:rPr>
          <w:rFonts w:hint="eastAsia"/>
        </w:rPr>
      </w:pPr>
      <w:r>
        <w:rPr>
          <w:rFonts w:hint="eastAsia"/>
          <w:kern w:val="2"/>
        </w:rPr>
        <w:t xml:space="preserve"> （四）液化石油气储罐火灾扑救</w:t>
      </w:r>
    </w:p>
    <w:p>
      <w:pPr>
        <w:spacing w:line="440" w:lineRule="exact"/>
        <w:ind w:firstLine="352" w:firstLineChars="14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1．火灾爆炸的形式和后果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2．泄漏事故处置的战术方法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3．泄漏火灾扑救的战术方法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4．火灾扑救行动的安全注意事项</w:t>
      </w:r>
    </w:p>
    <w:p>
      <w:pPr>
        <w:pStyle w:val="9"/>
        <w:spacing w:before="0" w:beforeAutospacing="0" w:after="0" w:afterAutospacing="0" w:line="440" w:lineRule="exact"/>
        <w:rPr>
          <w:rFonts w:hint="eastAsia" w:cs="黑体"/>
          <w:kern w:val="2"/>
        </w:rPr>
      </w:pPr>
      <w:r>
        <w:rPr>
          <w:rFonts w:hint="eastAsia" w:cs="黑体"/>
          <w:kern w:val="2"/>
        </w:rPr>
        <w:t>八、仓库火灾扑救战法及其应用</w:t>
      </w:r>
    </w:p>
    <w:p>
      <w:pPr>
        <w:pStyle w:val="9"/>
        <w:spacing w:before="0" w:beforeAutospacing="0" w:after="0" w:afterAutospacing="0" w:line="440" w:lineRule="exact"/>
        <w:rPr>
          <w:kern w:val="2"/>
        </w:rPr>
      </w:pPr>
      <w:r>
        <w:rPr>
          <w:rFonts w:hint="eastAsia"/>
          <w:kern w:val="2"/>
        </w:rPr>
        <w:t xml:space="preserve"> （一）危险化学品仓库火灾扑救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1．火灾的发展蔓延及险情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kern w:val="2"/>
        </w:rPr>
      </w:pPr>
      <w:r>
        <w:rPr>
          <w:rFonts w:hint="eastAsia"/>
          <w:kern w:val="2"/>
        </w:rPr>
        <w:t>2．火灾扑救的战术方法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3．火灾扑救行动的组织与实施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4．火灾扑救行动的安全注意事项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5．典型危化品火灾的扑救</w:t>
      </w:r>
    </w:p>
    <w:p>
      <w:pPr>
        <w:pStyle w:val="9"/>
        <w:spacing w:before="0" w:beforeAutospacing="0" w:after="0" w:afterAutospacing="0" w:line="440" w:lineRule="exact"/>
        <w:rPr>
          <w:rFonts w:hint="eastAsia"/>
          <w:kern w:val="2"/>
        </w:rPr>
      </w:pPr>
      <w:r>
        <w:rPr>
          <w:rFonts w:hint="eastAsia"/>
          <w:kern w:val="2"/>
        </w:rPr>
        <w:t xml:space="preserve"> （二）露天物资堆场火灾扑救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kern w:val="2"/>
        </w:rPr>
      </w:pPr>
      <w:r>
        <w:rPr>
          <w:rFonts w:hint="eastAsia"/>
          <w:kern w:val="2"/>
        </w:rPr>
        <w:t>1．火灾的发展蔓延及险情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kern w:val="2"/>
        </w:rPr>
      </w:pPr>
      <w:r>
        <w:rPr>
          <w:rFonts w:hint="eastAsia"/>
          <w:kern w:val="2"/>
        </w:rPr>
        <w:t>2．火灾扑救的战术方法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（三）冷库火灾扑救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1．火灾的发展蔓延及险情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kern w:val="2"/>
        </w:rPr>
      </w:pPr>
      <w:r>
        <w:rPr>
          <w:rFonts w:hint="eastAsia"/>
          <w:kern w:val="2"/>
        </w:rPr>
        <w:t>2．火灾扑救的战术方法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3．火灾扑救行动的组织与实施</w:t>
      </w:r>
    </w:p>
    <w:p>
      <w:pPr>
        <w:pStyle w:val="9"/>
        <w:spacing w:before="0" w:beforeAutospacing="0" w:after="0" w:afterAutospacing="0" w:line="440" w:lineRule="exact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4．火灾扑救行动的安全注意事项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九、汽车火灾扑救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（一）汽车火灾的特点</w:t>
      </w:r>
    </w:p>
    <w:p>
      <w:pPr>
        <w:adjustRightInd w:val="0"/>
        <w:snapToGrid w:val="0"/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（二）火灾</w:t>
      </w:r>
      <w:r>
        <w:rPr>
          <w:rFonts w:hint="eastAsia" w:ascii="宋体" w:hAnsi="宋体"/>
          <w:bCs/>
          <w:sz w:val="24"/>
          <w:szCs w:val="24"/>
        </w:rPr>
        <w:t>的发展蔓延及险情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（三）火灾扑救的战术方法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（四）火灾扑救行动的组织与实施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</w:t>
      </w:r>
      <w:r>
        <w:rPr>
          <w:rFonts w:ascii="宋体" w:hAnsi="宋体"/>
          <w:sz w:val="24"/>
          <w:szCs w:val="24"/>
        </w:rPr>
        <w:t>带电设备和线路火灾扑救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/>
        </w:rPr>
        <w:t>（一）</w:t>
      </w:r>
      <w:r>
        <w:rPr>
          <w:rFonts w:ascii="宋体" w:hAnsi="宋体"/>
          <w:sz w:val="24"/>
          <w:szCs w:val="24"/>
        </w:rPr>
        <w:t>火灾</w:t>
      </w:r>
      <w:r>
        <w:rPr>
          <w:rFonts w:hint="eastAsia" w:ascii="宋体" w:hAnsi="宋体"/>
          <w:sz w:val="24"/>
          <w:szCs w:val="24"/>
        </w:rPr>
        <w:t>的发展蔓延及险情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/>
        </w:rPr>
        <w:t>（二）</w:t>
      </w:r>
      <w:r>
        <w:rPr>
          <w:rFonts w:ascii="宋体" w:hAnsi="宋体"/>
          <w:sz w:val="24"/>
          <w:szCs w:val="24"/>
        </w:rPr>
        <w:t>火灾扑救</w:t>
      </w:r>
      <w:r>
        <w:rPr>
          <w:rFonts w:hint="eastAsia" w:ascii="宋体" w:hAnsi="宋体"/>
          <w:sz w:val="24"/>
          <w:szCs w:val="24"/>
        </w:rPr>
        <w:t>的战术方法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（三）火灾扑救行动的组织与实施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（四）火灾扑救行动的安全</w:t>
      </w:r>
      <w:r>
        <w:rPr>
          <w:rFonts w:ascii="宋体" w:hAnsi="宋体"/>
          <w:sz w:val="24"/>
          <w:szCs w:val="24"/>
        </w:rPr>
        <w:t>注意事项</w:t>
      </w:r>
    </w:p>
    <w:p>
      <w:pPr>
        <w:spacing w:line="44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十一、火灾扑救知识综合应用</w:t>
      </w:r>
    </w:p>
    <w:p>
      <w:pPr>
        <w:pStyle w:val="9"/>
        <w:spacing w:before="0" w:beforeAutospacing="0" w:after="0" w:afterAutospacing="0" w:line="440" w:lineRule="exact"/>
        <w:rPr>
          <w:rFonts w:hint="eastAsia" w:cs="Tahoma"/>
        </w:rPr>
      </w:pPr>
      <w:r>
        <w:rPr>
          <w:rFonts w:hint="eastAsia"/>
          <w:kern w:val="2"/>
        </w:rPr>
        <w:t>（一）</w:t>
      </w:r>
      <w:r>
        <w:rPr>
          <w:rFonts w:hint="eastAsia" w:cs="Tahoma"/>
        </w:rPr>
        <w:t>火场主要险情分析与判断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（二）火灾扑救安全防护措施与方法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（三）火灾扑救行动方案制定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（四）现场力量的组织和部署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（五）针对火情的灭火救援技战术应用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360" w:lineRule="auto"/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Ⅳ．参 考 试 题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一、简答题（每题5分，共60分）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1．简述消防救援队伍灭火救援的指导思想。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2．灭火战斗过程有哪些主要环节？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3. 灭火救援战术方法有哪些种类？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4．大跨度钢结构建筑在火灾中易倒塌破坏的原因是什么？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5．易燃结构建筑火灾如何控制火势发展？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6．扑救原油储罐火灾应采取哪些技战术方法？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7．简述大型商场的基本特点。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8．高层建筑火灾火势蔓延途径多的体现有哪些？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9．石油化工火灾如何堵截蔓延？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10．地下建筑火灾人员疏散困难的体现有哪些？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11．简述石油储罐的基本类型。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12．液化石油气泄漏如何稀释驱散？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二、论述题（每题10分，共40分）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1．论述“攻防并举、固移结合”灭火战术原则的内涵和应用。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2．论述灭火救援第一出动力量调派的重要性及其要求。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3．论述建筑火灾扑救内攻战法应用的必要性及其注意事项。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4．论述液化石油气储罐泄漏事故处置的战术方法。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三、应用题（每题25分，共50分）</w:t>
      </w:r>
    </w:p>
    <w:p>
      <w:pPr>
        <w:snapToGri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根据给定材料，按要求分析和解决问题。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应用题一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某年12月26日凌晨4时01分，某市消防救援支队调度指挥中心接到报警，夏威夷大酒店发生火灾。</w:t>
      </w:r>
    </w:p>
    <w:p>
      <w:pPr>
        <w:pStyle w:val="4"/>
        <w:spacing w:line="440" w:lineRule="exact"/>
        <w:ind w:firstLine="56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（一）基本情况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夏威夷大酒店位于该市自由大路66号，该建筑东临外贸纺织品进出口总公司，南临气象仪器厂，西为居民区，北临自由大路，共19层(其中地上17层，地下2层)，建筑高度64m，坐南朝北，是集住宿、餐饮、娱乐、洗浴为一体的三星级涉外酒店，共有客房132间。该大酒店地下一层(B1层)建筑面积1250 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，内设洗浴中心(800m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设有包房8间)、美容美发厅、职工食堂、车队、变电室、消防控制室等，该层属于半地下，北侧是地下一层，南侧是地上，有四个疏散出口，其中南侧有三个通向室外的出口均已被锁死，北侧有一个疏散口直接通向大厅。该酒店楼层高、建筑结构复杂、功能复杂，尤其是地下洗浴中心，是在原地下仓库的基础上改建，可燃装修材料多、疏散通道狭窄(宽1.2m)、通道长、转弯交叉点多、环境复杂。大酒店附近共有可用消火栓3处。当日气象：西南风3～4级，气温-14℃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这起火灾的着火部位处于该大酒店的地下一层，是由于保安人员</w:t>
      </w:r>
      <w:r>
        <w:rPr>
          <w:rFonts w:hAnsi="宋体"/>
          <w:sz w:val="24"/>
          <w:szCs w:val="24"/>
        </w:rPr>
        <w:t>吸烟后将未熄灭的半截香烟扔在门外通道的可燃物上</w:t>
      </w:r>
      <w:r>
        <w:rPr>
          <w:rFonts w:hint="eastAsia" w:hAnsi="宋体"/>
          <w:sz w:val="24"/>
          <w:szCs w:val="24"/>
        </w:rPr>
        <w:t>，</w:t>
      </w:r>
      <w:r>
        <w:rPr>
          <w:rFonts w:hAnsi="宋体"/>
          <w:sz w:val="24"/>
          <w:szCs w:val="24"/>
        </w:rPr>
        <w:t>在通道上方热风机的鼓吹下，烟头引燃可燃物，迅速燃烧</w:t>
      </w:r>
      <w:r>
        <w:rPr>
          <w:rFonts w:hint="eastAsia" w:hAnsi="宋体"/>
          <w:sz w:val="24"/>
          <w:szCs w:val="24"/>
        </w:rPr>
        <w:t>。火灾发生在节日期间(圣诞节)，洗浴中心的员工和楼内的顾客们狂欢之后都已在熟睡之中，保安室值班人员又擅自饮酒和离岗，发现失火后只忙于救火，没有报警和组织浴室内人员逃生，不但没有控制火势，反而错过了组织逃生的最佳时机，大量人员被困于洗浴中心及主楼客房内。凌晨4时01分，酒店一楼服务台值班人员才发现火灾并报警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接警后，支队调度指挥中心调集辖区桂林路中队和特勤二中队、特勤一中队、浦东路、长春大街、南湖大路6个消防中队的24台消防车(其中云梯车2台、排烟车1台，器材车1台、专勤工具车2台、照明车1台，水罐车17台)赶赴火场，并向当日支队值班首长报告，随即支队各级值班人员赶赴火场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时07分，桂林路消防中队4台水罐消防车28名指战员到达火场，此时，夏威夷大酒店楼内浓烟滚滚。中队指挥员经现场初步侦察后，发现地下洗浴中心火势正沿管道井和通风道向楼上蔓延，起火点在门口，封闭了整个通道，并燃烧了煤气管道而引起管道泄漏，酒店大楼的地下洗浴中心和1至17层还有顾客170多人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4时09至15分，特勤二中队、浦东路中队、长春大街中队、特勤一中队相继到达火场。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时18分，支队当日值班首长、作战值班员到达火灾现场，随后支队领导及机关司、政、后、防部门有关人员相继到达火场。此时，酒店大楼由于烟雾较大，楼上的顾客秩序十分混乱，不少人打碎了玻璃，想要跳楼求生，求救哭喊之声不断，其中还有外宾。</w:t>
      </w:r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（二）需要分析和解决的问题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1．根据上述材料，分析判断火场主要险情。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2．作为第一出动力量的辖区指挥员，写出你考虑的灭火救人基本思路（包括技战术方法）。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3．利用到场的第一出动力量，结合火场环境条件，如何分配行动任务、选择行动路线和设置行动阵地，以实现自己的灭火救人基本思路？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附：大酒店地下一层(B1层)平面图</w:t>
      </w:r>
    </w:p>
    <w:p>
      <w:pPr>
        <w:pStyle w:val="4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drawing>
          <wp:inline distT="0" distB="0" distL="114300" distR="114300">
            <wp:extent cx="4379595" cy="29152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rPr>
          <w:rFonts w:hint="eastAsia" w:ascii="宋体" w:hAnsi="宋体"/>
          <w:b/>
          <w:sz w:val="24"/>
          <w:szCs w:val="24"/>
        </w:rPr>
      </w:pPr>
    </w:p>
    <w:p>
      <w:pPr>
        <w:snapToGrid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应用题二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某年3月27日13时45分，某市消防救援支队调度指挥中心接到报警，沈杨化工二库发生火灾。</w:t>
      </w:r>
    </w:p>
    <w:p>
      <w:pPr>
        <w:spacing w:line="440" w:lineRule="exact"/>
        <w:ind w:firstLine="472" w:firstLineChars="196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（一）基本情况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沈杨化工二库大门设在东南角，库的东面为祁连支路，南面为农田，西面为中兴河，北面为蕴藻浜河。该库始建于2000年9月，总共占地面积32000m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，东西长275m，南北宽121m，仓库占地面积15000m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，建有14个单层二跨仓库和3个棚库。库与库间距最小lm，最远14.5m，且绝大多数库与库间用雨棚相连，发生火灾的部位为库区中部2、5、6、7号库和3、4号棚库，其中2号库面积为500m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，存放塑料粒子20T、发泡剂10T，5号库面积为900m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，存放钛白粉、苯酚50T，农药、硫磺粉共80T，6号库面积为900m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，存放钛白粉80T、高锰酸钾、工业萘共80T，7号库面积900m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，存放化妆品原料30T、塑料粒子50T、红矾钠10T。3号棚库面积为1400m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，存放TDI、环氧树脂2500桶和大量丙酮、醋酸乙脂、进口树脂，4号棚库面积为1200m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，存放液氯150瓶（每瓶重达1T）、工业萘200T，西侧为8至15号库，总面积7000m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，存放大量丙酮、甲苯、二甲苯、粗蒽、二氯乙烷、摩丝、除草剂、橡胶、异丙醇等化学危险物品，南侧为1号棚库和4号库及辅助房，总面积为3000m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，存有二乙二醇、毒害品、腐蚀性物品，东侧为1号库和办公楼，总面积为1000m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，存有塑料粒子、油剂50T和颜料、焦磷等。当日阴天，风向东南风，风力4～5级，温度11.9-14.1℃。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此次火灾因其二库在6号库内装卸高锰酸钾时，铲车工人操作不当，装卸时不小心把碰倒的易燃固体粗萘与高锰酸钾混在一起，从而产生剧烈反应着火而发生火灾。27日13时50分，单位相关人员报警。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该市消防支队指挥中心接到报警后，迅速调派大场、闸北、真如、真光等30个中队26辆泵浦车、21辆泡沫车、8辆抢险车、4辆照明车、5辆器材车、3辆泡沫运输车、1辆油槽车、1辆防化车、1辆干粉车、1辆CO</w:t>
      </w:r>
      <w:r>
        <w:rPr>
          <w:rFonts w:hint="eastAsia" w:hAnsi="宋体"/>
          <w:sz w:val="24"/>
          <w:szCs w:val="24"/>
          <w:vertAlign w:val="subscript"/>
        </w:rPr>
        <w:t>2</w:t>
      </w:r>
      <w:r>
        <w:rPr>
          <w:rFonts w:hint="eastAsia" w:hAnsi="宋体"/>
          <w:sz w:val="24"/>
          <w:szCs w:val="24"/>
        </w:rPr>
        <w:t>车、1辆给养车，645名消防救援人员赶赴现场扑救。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辖区中队于13时55分到场时，6号库已全面燃烧，但因6、7号库内储存着大量可燃物，尤其80T桶装的工业萘已形成流淌燃烧，火势直接威胁4号棚库安全。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随后到场的真如、真光、闸北中队面对灾情的进一步发展，迅速遏制4号棚库火势的进一步发展，但此时火势已扩大到2000m</w:t>
      </w:r>
      <w:r>
        <w:rPr>
          <w:rFonts w:hint="eastAsia"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</w:rPr>
        <w:t>，现场力量明显不足，且强大的辐射热使混存于4号棚内的1T液氯钢瓶爆炸。针对现场情况，火场指挥员果断下达了转移阵地、撤至库外的命令。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因4号棚库内液氯钢瓶爆炸持续不断，且火势直接向l号库和3号棚蔓延，现场总队指挥对撤至库外的人员、车辆重新部署，重点从外部控制火势的发展蔓延。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至15时20分，当后续增援的70多辆消防车相继到场后，现场指挥部命令总攻，从正面形成了15条供水线路，在侧面形成了10条供水线路，部署力量歼灭3、4号棚库火势；15时50分，指挥部及时调整战斗部署，将总攻力量分成东、南、西、北、中5股力量，分别对2、5、6、7号库余火展开扑救，至16时10分，现场所有明火被歼灭，16时30现场清理完毕。</w:t>
      </w:r>
    </w:p>
    <w:p>
      <w:pPr>
        <w:spacing w:line="440" w:lineRule="exact"/>
        <w:ind w:firstLine="472" w:firstLineChars="196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（二）需要分析和解决的问题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1．根据上述材料，分析判断本次火灾的主要险情。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2．作为第一出动力量的辖区指挥员，据现场情况给出现场力量的组织和部署（包括火场主要方面的确定、力量的分组及任务部署等）。</w:t>
      </w:r>
    </w:p>
    <w:p>
      <w:pPr>
        <w:pStyle w:val="4"/>
        <w:spacing w:line="44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3．针对4号棚库内存在的危险源，给出可行的行动处置方案及应采取的安全防护措施。</w:t>
      </w:r>
    </w:p>
    <w:p>
      <w:pPr>
        <w:snapToGrid w:val="0"/>
        <w:rPr>
          <w:rFonts w:hint="eastAsia" w:ascii="宋体" w:hAnsi="宋体"/>
          <w:b/>
          <w:sz w:val="24"/>
          <w:szCs w:val="24"/>
        </w:rPr>
      </w:pPr>
    </w:p>
    <w:p>
      <w:pPr>
        <w:ind w:firstLine="4080" w:firstLineChars="1700"/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hint="eastAsia" w:ascii="黑体" w:hAnsi="宋体" w:eastAsia="黑体"/>
          <w:b/>
          <w:sz w:val="28"/>
          <w:szCs w:val="28"/>
        </w:rPr>
      </w:pPr>
      <w:bookmarkStart w:id="1" w:name="_Toc155152748"/>
      <w:r>
        <w:rPr>
          <w:rFonts w:hint="eastAsia" w:ascii="黑体" w:hAnsi="宋体" w:eastAsia="黑体"/>
          <w:b/>
          <w:sz w:val="28"/>
          <w:szCs w:val="28"/>
        </w:rPr>
        <w:t>Ⅴ</w:t>
      </w:r>
      <w:r>
        <w:rPr>
          <w:rFonts w:ascii="黑体" w:hAnsi="宋体" w:eastAsia="黑体"/>
          <w:b/>
          <w:sz w:val="28"/>
          <w:szCs w:val="28"/>
        </w:rPr>
        <w:t>.参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ascii="黑体" w:hAnsi="宋体" w:eastAsia="黑体"/>
          <w:b/>
          <w:sz w:val="28"/>
          <w:szCs w:val="28"/>
        </w:rPr>
        <w:t>考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ascii="黑体" w:hAnsi="宋体" w:eastAsia="黑体"/>
          <w:b/>
          <w:sz w:val="28"/>
          <w:szCs w:val="28"/>
        </w:rPr>
        <w:t>书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ascii="黑体" w:hAnsi="宋体" w:eastAsia="黑体"/>
          <w:b/>
          <w:sz w:val="28"/>
          <w:szCs w:val="28"/>
        </w:rPr>
        <w:t>目</w:t>
      </w:r>
    </w:p>
    <w:bookmarkEnd w:id="1"/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1．《灭火战术》，李建华，中国人民公安大学出版社，2014年。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82C9A"/>
    <w:multiLevelType w:val="multilevel"/>
    <w:tmpl w:val="0A382C9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A"/>
    <w:rsid w:val="00000D08"/>
    <w:rsid w:val="00004146"/>
    <w:rsid w:val="00014066"/>
    <w:rsid w:val="000145F1"/>
    <w:rsid w:val="00017206"/>
    <w:rsid w:val="00020314"/>
    <w:rsid w:val="00031ECA"/>
    <w:rsid w:val="00041BDD"/>
    <w:rsid w:val="00051F79"/>
    <w:rsid w:val="00064799"/>
    <w:rsid w:val="00067EB5"/>
    <w:rsid w:val="000771A6"/>
    <w:rsid w:val="00081BD5"/>
    <w:rsid w:val="00082059"/>
    <w:rsid w:val="00091249"/>
    <w:rsid w:val="000A04D9"/>
    <w:rsid w:val="000A58C4"/>
    <w:rsid w:val="000C05BE"/>
    <w:rsid w:val="000C4D7F"/>
    <w:rsid w:val="000C7BF1"/>
    <w:rsid w:val="000D0882"/>
    <w:rsid w:val="000D19E9"/>
    <w:rsid w:val="000D28AE"/>
    <w:rsid w:val="000F2A36"/>
    <w:rsid w:val="00107B70"/>
    <w:rsid w:val="00116A4E"/>
    <w:rsid w:val="00121D31"/>
    <w:rsid w:val="00135A21"/>
    <w:rsid w:val="00153E2F"/>
    <w:rsid w:val="001541D5"/>
    <w:rsid w:val="00163CBD"/>
    <w:rsid w:val="001906A8"/>
    <w:rsid w:val="00193033"/>
    <w:rsid w:val="00193639"/>
    <w:rsid w:val="001B7613"/>
    <w:rsid w:val="001D3A1B"/>
    <w:rsid w:val="001D3D2C"/>
    <w:rsid w:val="001D6797"/>
    <w:rsid w:val="001E60FC"/>
    <w:rsid w:val="001F19DB"/>
    <w:rsid w:val="001F3BBD"/>
    <w:rsid w:val="002055B3"/>
    <w:rsid w:val="00232716"/>
    <w:rsid w:val="00237990"/>
    <w:rsid w:val="002401E9"/>
    <w:rsid w:val="00242FF6"/>
    <w:rsid w:val="00251885"/>
    <w:rsid w:val="002529D1"/>
    <w:rsid w:val="00253C5B"/>
    <w:rsid w:val="00254BD3"/>
    <w:rsid w:val="002556BC"/>
    <w:rsid w:val="00271807"/>
    <w:rsid w:val="00274891"/>
    <w:rsid w:val="00275CF1"/>
    <w:rsid w:val="00277858"/>
    <w:rsid w:val="00282CE9"/>
    <w:rsid w:val="00287CEC"/>
    <w:rsid w:val="002A1550"/>
    <w:rsid w:val="002D6EB5"/>
    <w:rsid w:val="002E09C7"/>
    <w:rsid w:val="002E3343"/>
    <w:rsid w:val="002E6086"/>
    <w:rsid w:val="002F26A9"/>
    <w:rsid w:val="0030730E"/>
    <w:rsid w:val="00310689"/>
    <w:rsid w:val="00314772"/>
    <w:rsid w:val="00322675"/>
    <w:rsid w:val="003347DF"/>
    <w:rsid w:val="00335BF2"/>
    <w:rsid w:val="00342360"/>
    <w:rsid w:val="00343E95"/>
    <w:rsid w:val="00360050"/>
    <w:rsid w:val="003604DD"/>
    <w:rsid w:val="00360EE2"/>
    <w:rsid w:val="00374C7D"/>
    <w:rsid w:val="00386F68"/>
    <w:rsid w:val="00392529"/>
    <w:rsid w:val="003A1DE8"/>
    <w:rsid w:val="003A48DD"/>
    <w:rsid w:val="003B0435"/>
    <w:rsid w:val="003D2A9E"/>
    <w:rsid w:val="00414137"/>
    <w:rsid w:val="00417F70"/>
    <w:rsid w:val="0042286E"/>
    <w:rsid w:val="00427CCE"/>
    <w:rsid w:val="00432CA3"/>
    <w:rsid w:val="004379E5"/>
    <w:rsid w:val="00437FEB"/>
    <w:rsid w:val="00443E35"/>
    <w:rsid w:val="00445BAE"/>
    <w:rsid w:val="0045050C"/>
    <w:rsid w:val="00450CAB"/>
    <w:rsid w:val="004519E0"/>
    <w:rsid w:val="00452EBC"/>
    <w:rsid w:val="00472071"/>
    <w:rsid w:val="0049343B"/>
    <w:rsid w:val="004A18FC"/>
    <w:rsid w:val="004A3DE6"/>
    <w:rsid w:val="004A5BBB"/>
    <w:rsid w:val="004B7E60"/>
    <w:rsid w:val="004C4D21"/>
    <w:rsid w:val="004C5D82"/>
    <w:rsid w:val="004C789C"/>
    <w:rsid w:val="004F0B97"/>
    <w:rsid w:val="00520B7F"/>
    <w:rsid w:val="00530CCA"/>
    <w:rsid w:val="00543C5A"/>
    <w:rsid w:val="00544E0F"/>
    <w:rsid w:val="00562103"/>
    <w:rsid w:val="00565C24"/>
    <w:rsid w:val="00565E59"/>
    <w:rsid w:val="00567126"/>
    <w:rsid w:val="00570954"/>
    <w:rsid w:val="00573AB4"/>
    <w:rsid w:val="00584A4B"/>
    <w:rsid w:val="00584D6C"/>
    <w:rsid w:val="005910EE"/>
    <w:rsid w:val="005B1448"/>
    <w:rsid w:val="005B2C20"/>
    <w:rsid w:val="005B5626"/>
    <w:rsid w:val="005C1DCE"/>
    <w:rsid w:val="005C1ED4"/>
    <w:rsid w:val="005D326E"/>
    <w:rsid w:val="005E4B28"/>
    <w:rsid w:val="005E4E96"/>
    <w:rsid w:val="005F35BA"/>
    <w:rsid w:val="005F4A0D"/>
    <w:rsid w:val="005F64EB"/>
    <w:rsid w:val="00605959"/>
    <w:rsid w:val="00615CBA"/>
    <w:rsid w:val="00621CAA"/>
    <w:rsid w:val="006332DE"/>
    <w:rsid w:val="00633E0A"/>
    <w:rsid w:val="006433E3"/>
    <w:rsid w:val="00664DC6"/>
    <w:rsid w:val="00670B1D"/>
    <w:rsid w:val="00685EC8"/>
    <w:rsid w:val="006A0D10"/>
    <w:rsid w:val="006A6A70"/>
    <w:rsid w:val="006B1BD5"/>
    <w:rsid w:val="006D34D1"/>
    <w:rsid w:val="006E48AA"/>
    <w:rsid w:val="006E4DE8"/>
    <w:rsid w:val="007042A8"/>
    <w:rsid w:val="007075B0"/>
    <w:rsid w:val="00712B0F"/>
    <w:rsid w:val="00714221"/>
    <w:rsid w:val="00727632"/>
    <w:rsid w:val="00730C68"/>
    <w:rsid w:val="00737FC9"/>
    <w:rsid w:val="007479B6"/>
    <w:rsid w:val="0075507D"/>
    <w:rsid w:val="00756B9E"/>
    <w:rsid w:val="007577A5"/>
    <w:rsid w:val="007909D4"/>
    <w:rsid w:val="00796D10"/>
    <w:rsid w:val="007A4390"/>
    <w:rsid w:val="007C2F2F"/>
    <w:rsid w:val="007D5E90"/>
    <w:rsid w:val="007F2C51"/>
    <w:rsid w:val="00804DD6"/>
    <w:rsid w:val="008515B7"/>
    <w:rsid w:val="0085372C"/>
    <w:rsid w:val="0087525A"/>
    <w:rsid w:val="00881379"/>
    <w:rsid w:val="00884B8A"/>
    <w:rsid w:val="008921A5"/>
    <w:rsid w:val="00897E6B"/>
    <w:rsid w:val="008A2803"/>
    <w:rsid w:val="008A2DD5"/>
    <w:rsid w:val="008A37C2"/>
    <w:rsid w:val="008A5EE1"/>
    <w:rsid w:val="008C4462"/>
    <w:rsid w:val="008C6FF4"/>
    <w:rsid w:val="008F0C01"/>
    <w:rsid w:val="00900FD1"/>
    <w:rsid w:val="00903CD5"/>
    <w:rsid w:val="00906400"/>
    <w:rsid w:val="00906C83"/>
    <w:rsid w:val="00906D0B"/>
    <w:rsid w:val="00926BB6"/>
    <w:rsid w:val="00930F1B"/>
    <w:rsid w:val="009403A6"/>
    <w:rsid w:val="0094364D"/>
    <w:rsid w:val="00951AFC"/>
    <w:rsid w:val="009568CA"/>
    <w:rsid w:val="00965684"/>
    <w:rsid w:val="00972E9D"/>
    <w:rsid w:val="00981E81"/>
    <w:rsid w:val="00984014"/>
    <w:rsid w:val="0099581F"/>
    <w:rsid w:val="009A3332"/>
    <w:rsid w:val="009B33FB"/>
    <w:rsid w:val="009C07F0"/>
    <w:rsid w:val="009E324E"/>
    <w:rsid w:val="009F257E"/>
    <w:rsid w:val="00A02EF5"/>
    <w:rsid w:val="00A063BF"/>
    <w:rsid w:val="00A17F7C"/>
    <w:rsid w:val="00A30CF3"/>
    <w:rsid w:val="00A325C6"/>
    <w:rsid w:val="00A349D5"/>
    <w:rsid w:val="00A510D1"/>
    <w:rsid w:val="00A54882"/>
    <w:rsid w:val="00A6237F"/>
    <w:rsid w:val="00A90F4B"/>
    <w:rsid w:val="00A93DA4"/>
    <w:rsid w:val="00AA67F3"/>
    <w:rsid w:val="00AA7636"/>
    <w:rsid w:val="00AA7D70"/>
    <w:rsid w:val="00AD35D2"/>
    <w:rsid w:val="00AD64AD"/>
    <w:rsid w:val="00AE5AD7"/>
    <w:rsid w:val="00AF1295"/>
    <w:rsid w:val="00AF1D49"/>
    <w:rsid w:val="00AF41D1"/>
    <w:rsid w:val="00B01F24"/>
    <w:rsid w:val="00B02391"/>
    <w:rsid w:val="00B14BCD"/>
    <w:rsid w:val="00B15780"/>
    <w:rsid w:val="00B16537"/>
    <w:rsid w:val="00B17728"/>
    <w:rsid w:val="00B20B35"/>
    <w:rsid w:val="00B20C0C"/>
    <w:rsid w:val="00B25F83"/>
    <w:rsid w:val="00B401AC"/>
    <w:rsid w:val="00B45318"/>
    <w:rsid w:val="00B47317"/>
    <w:rsid w:val="00B50B0F"/>
    <w:rsid w:val="00B70032"/>
    <w:rsid w:val="00B73917"/>
    <w:rsid w:val="00B911A2"/>
    <w:rsid w:val="00B95470"/>
    <w:rsid w:val="00BA34B3"/>
    <w:rsid w:val="00BA4101"/>
    <w:rsid w:val="00BA5E81"/>
    <w:rsid w:val="00BB157C"/>
    <w:rsid w:val="00BB2F10"/>
    <w:rsid w:val="00BC5ACF"/>
    <w:rsid w:val="00BE08D6"/>
    <w:rsid w:val="00C01E89"/>
    <w:rsid w:val="00C04013"/>
    <w:rsid w:val="00C11793"/>
    <w:rsid w:val="00C124F6"/>
    <w:rsid w:val="00C12E93"/>
    <w:rsid w:val="00C14510"/>
    <w:rsid w:val="00C169E1"/>
    <w:rsid w:val="00C20AAF"/>
    <w:rsid w:val="00C21DFA"/>
    <w:rsid w:val="00C24A08"/>
    <w:rsid w:val="00C32DEC"/>
    <w:rsid w:val="00C4091D"/>
    <w:rsid w:val="00C44858"/>
    <w:rsid w:val="00C518CC"/>
    <w:rsid w:val="00C54B89"/>
    <w:rsid w:val="00C618CC"/>
    <w:rsid w:val="00C7218D"/>
    <w:rsid w:val="00C7356F"/>
    <w:rsid w:val="00C757B9"/>
    <w:rsid w:val="00CB405C"/>
    <w:rsid w:val="00CC4942"/>
    <w:rsid w:val="00CD7032"/>
    <w:rsid w:val="00CF7697"/>
    <w:rsid w:val="00D00069"/>
    <w:rsid w:val="00D130AF"/>
    <w:rsid w:val="00D13D17"/>
    <w:rsid w:val="00D16236"/>
    <w:rsid w:val="00D3005A"/>
    <w:rsid w:val="00D3622D"/>
    <w:rsid w:val="00D51E2D"/>
    <w:rsid w:val="00D62C6D"/>
    <w:rsid w:val="00D80184"/>
    <w:rsid w:val="00D85546"/>
    <w:rsid w:val="00DD6971"/>
    <w:rsid w:val="00DE3C5C"/>
    <w:rsid w:val="00DF016F"/>
    <w:rsid w:val="00E0621B"/>
    <w:rsid w:val="00E11A1E"/>
    <w:rsid w:val="00E16C73"/>
    <w:rsid w:val="00E25429"/>
    <w:rsid w:val="00E30905"/>
    <w:rsid w:val="00E71CFA"/>
    <w:rsid w:val="00E76E11"/>
    <w:rsid w:val="00E818CB"/>
    <w:rsid w:val="00EB63FA"/>
    <w:rsid w:val="00ED2E56"/>
    <w:rsid w:val="00EE24B1"/>
    <w:rsid w:val="00EF4678"/>
    <w:rsid w:val="00F138C5"/>
    <w:rsid w:val="00F1505A"/>
    <w:rsid w:val="00F17510"/>
    <w:rsid w:val="00F21370"/>
    <w:rsid w:val="00F46969"/>
    <w:rsid w:val="00F5332E"/>
    <w:rsid w:val="00F62BFC"/>
    <w:rsid w:val="00F64C0F"/>
    <w:rsid w:val="00F776D3"/>
    <w:rsid w:val="00F866D2"/>
    <w:rsid w:val="00F90E94"/>
    <w:rsid w:val="00F920D6"/>
    <w:rsid w:val="00F93480"/>
    <w:rsid w:val="00FA19EE"/>
    <w:rsid w:val="00FB0AAB"/>
    <w:rsid w:val="00FC5D91"/>
    <w:rsid w:val="00FD5277"/>
    <w:rsid w:val="00FD5611"/>
    <w:rsid w:val="00FD5A86"/>
    <w:rsid w:val="00FE1269"/>
    <w:rsid w:val="00FE3DF3"/>
    <w:rsid w:val="00FF5206"/>
    <w:rsid w:val="17374F73"/>
    <w:rsid w:val="206E47DE"/>
    <w:rsid w:val="27156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2"/>
    <w:basedOn w:val="1"/>
    <w:link w:val="15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70"/>
    </w:pPr>
    <w:rPr>
      <w:rFonts w:ascii="宋体" w:hAnsi="宋体"/>
      <w:szCs w:val="24"/>
    </w:rPr>
  </w:style>
  <w:style w:type="paragraph" w:styleId="4">
    <w:name w:val="Plain Text"/>
    <w:basedOn w:val="1"/>
    <w:link w:val="16"/>
    <w:uiPriority w:val="0"/>
    <w:rPr>
      <w:rFonts w:ascii="宋体" w:hAnsi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rPr>
      <w:szCs w:val="24"/>
    </w:rPr>
  </w:style>
  <w:style w:type="paragraph" w:styleId="8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uiPriority w:val="99"/>
    <w:rPr>
      <w:color w:val="0000FF"/>
      <w:u w:val="single"/>
    </w:rPr>
  </w:style>
  <w:style w:type="character" w:customStyle="1" w:styleId="15">
    <w:name w:val="标题 2 Char Char"/>
    <w:aliases w:val="标题 2 Char1 Char Char,标题 2 Char Char Char Char,标题 2 Char4 Char Char Char Char,标题 2 Char3 Char Char Char Char Char,标题 2 Char2 Char Char Char Char Char Char,标题 2 Char1 Char Char Char Char Char Char Char"/>
    <w:link w:val="2"/>
    <w:uiPriority w:val="0"/>
    <w:rPr>
      <w:rFonts w:ascii="宋体" w:hAnsi="宋体" w:eastAsia="宋体"/>
      <w:b/>
      <w:bCs/>
      <w:sz w:val="36"/>
      <w:szCs w:val="36"/>
      <w:lang w:val="en-US" w:eastAsia="zh-CN" w:bidi="ar-SA"/>
    </w:rPr>
  </w:style>
  <w:style w:type="character" w:customStyle="1" w:styleId="16">
    <w:name w:val=" Char Char1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 Char Char"/>
    <w:link w:val="6"/>
    <w:uiPriority w:val="0"/>
    <w:rPr>
      <w:kern w:val="2"/>
      <w:sz w:val="18"/>
      <w:szCs w:val="18"/>
    </w:rPr>
  </w:style>
  <w:style w:type="paragraph" w:customStyle="1" w:styleId="18">
    <w:name w:val="教学大纲标题1（大标题）"/>
    <w:basedOn w:val="1"/>
    <w:uiPriority w:val="0"/>
    <w:pPr>
      <w:spacing w:before="600" w:after="240"/>
      <w:ind w:left="2466" w:hanging="2466"/>
      <w:outlineLvl w:val="0"/>
    </w:pPr>
    <w:rPr>
      <w:rFonts w:ascii="宋体" w:hAnsi="宋体"/>
      <w:bCs/>
      <w:sz w:val="44"/>
      <w:szCs w:val="44"/>
    </w:rPr>
  </w:style>
  <w:style w:type="paragraph" w:customStyle="1" w:styleId="19">
    <w:name w:val="教学大纲标题2（小标题）"/>
    <w:basedOn w:val="1"/>
    <w:next w:val="1"/>
    <w:uiPriority w:val="0"/>
    <w:pPr>
      <w:snapToGrid w:val="0"/>
      <w:jc w:val="center"/>
      <w:outlineLvl w:val="1"/>
    </w:pPr>
    <w:rPr>
      <w:rFonts w:ascii="黑体" w:hAnsi="Arial" w:eastAsia="黑体" w:cs="Arial"/>
      <w:sz w:val="28"/>
      <w:szCs w:val="28"/>
    </w:rPr>
  </w:style>
  <w:style w:type="paragraph" w:customStyle="1" w:styleId="20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21">
    <w:name w:val="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22">
    <w:name w:val="教学大纲正文（缩进）"/>
    <w:basedOn w:val="1"/>
    <w:next w:val="1"/>
    <w:uiPriority w:val="0"/>
    <w:pPr>
      <w:adjustRightInd w:val="0"/>
      <w:snapToGrid w:val="0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</Company>
  <Pages>1</Pages>
  <Words>807</Words>
  <Characters>4601</Characters>
  <Lines>38</Lines>
  <Paragraphs>10</Paragraphs>
  <TotalTime>0</TotalTime>
  <ScaleCrop>false</ScaleCrop>
  <LinksUpToDate>false</LinksUpToDate>
  <CharactersWithSpaces>5398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2019-07-11T03:42:00Z</dcterms:created>
  <dc:creator>ljh</dc:creator>
  <cp:lastModifiedBy>vertesyuan</cp:lastModifiedBy>
  <cp:lastPrinted>2019-07-05T03:51:00Z</cp:lastPrinted>
  <dcterms:modified xsi:type="dcterms:W3CDTF">2022-09-07T05:30:15Z</dcterms:modified>
  <dc:title>作战(消防)指挥学《灭火战术》科目考试大纲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5CBF8085FC2F4EF78D78247C25960AE4</vt:lpwstr>
  </property>
</Properties>
</file>