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23" w:name="_GoBack"/>
      <w:bookmarkEnd w:id="23"/>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硕士研究生招生考试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eastAsia="黑体"/>
          <w:sz w:val="52"/>
          <w:szCs w:val="52"/>
        </w:rPr>
        <w:t>国际贸易学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(科目代码：910)</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经济学院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ascii="仿宋_GB2312" w:hAnsi="宋体" w:eastAsia="仿宋_GB2312"/>
          <w:sz w:val="32"/>
          <w:szCs w:val="32"/>
          <w:u w:val="single"/>
        </w:rPr>
        <w:t>2</w:t>
      </w:r>
      <w:r>
        <w:rPr>
          <w:rFonts w:hint="eastAsia" w:ascii="仿宋_GB2312" w:hAnsi="宋体" w:eastAsia="仿宋_GB2312"/>
          <w:sz w:val="32"/>
          <w:szCs w:val="32"/>
          <w:u w:val="single"/>
        </w:rPr>
        <w:t xml:space="preserve">  年  </w:t>
      </w:r>
      <w:r>
        <w:rPr>
          <w:rFonts w:ascii="仿宋_GB2312" w:hAnsi="宋体" w:eastAsia="仿宋_GB2312"/>
          <w:sz w:val="32"/>
          <w:szCs w:val="32"/>
          <w:u w:val="single"/>
        </w:rPr>
        <w:t>6</w:t>
      </w:r>
      <w:r>
        <w:rPr>
          <w:rFonts w:hint="eastAsia" w:ascii="仿宋_GB2312" w:hAnsi="宋体" w:eastAsia="仿宋_GB2312"/>
          <w:sz w:val="32"/>
          <w:szCs w:val="32"/>
          <w:u w:val="single"/>
        </w:rPr>
        <w:t xml:space="preserve">  月  </w:t>
      </w:r>
      <w:r>
        <w:rPr>
          <w:rFonts w:ascii="仿宋_GB2312" w:hAnsi="宋体" w:eastAsia="仿宋_GB2312"/>
          <w:sz w:val="32"/>
          <w:szCs w:val="32"/>
          <w:u w:val="single"/>
        </w:rPr>
        <w:t>26</w:t>
      </w:r>
      <w:r>
        <w:rPr>
          <w:rFonts w:hint="eastAsia" w:ascii="仿宋_GB2312" w:hAnsi="宋体" w:eastAsia="仿宋_GB2312"/>
          <w:sz w:val="32"/>
          <w:szCs w:val="32"/>
          <w:u w:val="single"/>
        </w:rPr>
        <w:t xml:space="preserve">  日</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jc w:val="center"/>
        <w:rPr>
          <w:rFonts w:hint="eastAsia" w:ascii="黑体" w:eastAsia="黑体"/>
          <w:sz w:val="32"/>
          <w:szCs w:val="32"/>
        </w:rPr>
      </w:pPr>
      <w:r>
        <w:rPr>
          <w:rFonts w:hint="eastAsia" w:ascii="黑体" w:eastAsia="黑体"/>
          <w:sz w:val="32"/>
          <w:szCs w:val="32"/>
        </w:rPr>
        <w:t>《国际贸易学》科目大纲</w:t>
      </w:r>
    </w:p>
    <w:p>
      <w:pPr>
        <w:jc w:val="center"/>
        <w:rPr>
          <w:rFonts w:hint="eastAsia" w:ascii="黑体" w:eastAsia="黑体"/>
          <w:color w:val="000000"/>
          <w:sz w:val="28"/>
          <w:szCs w:val="28"/>
        </w:rPr>
      </w:pPr>
      <w:r>
        <w:rPr>
          <w:rFonts w:hint="eastAsia" w:ascii="黑体" w:eastAsia="黑体"/>
          <w:color w:val="000000"/>
          <w:sz w:val="28"/>
          <w:szCs w:val="28"/>
        </w:rPr>
        <w:t>（科目代码:910）</w:t>
      </w:r>
    </w:p>
    <w:p>
      <w:pPr>
        <w:jc w:val="center"/>
        <w:rPr>
          <w:rFonts w:hint="eastAsia" w:ascii="黑体" w:eastAsia="黑体"/>
          <w:color w:val="000000"/>
          <w:sz w:val="28"/>
          <w:szCs w:val="28"/>
        </w:rPr>
      </w:pPr>
    </w:p>
    <w:p>
      <w:pPr>
        <w:ind w:firstLine="640" w:firstLineChars="200"/>
        <w:jc w:val="center"/>
        <w:rPr>
          <w:rFonts w:hint="eastAsia" w:ascii="黑体" w:eastAsia="黑体"/>
          <w:sz w:val="32"/>
          <w:szCs w:val="32"/>
        </w:rPr>
      </w:pPr>
      <w:r>
        <w:rPr>
          <w:rFonts w:hint="eastAsia" w:ascii="黑体" w:eastAsia="黑体"/>
          <w:sz w:val="32"/>
          <w:szCs w:val="32"/>
        </w:rPr>
        <w:t>一、考核要求</w:t>
      </w:r>
    </w:p>
    <w:p>
      <w:pPr>
        <w:widowControl/>
        <w:shd w:val="clear" w:color="auto" w:fill="FFFFFF"/>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国际贸易学》是国际贸易学专业的核心必修课。国际贸易学是研究国际贸易产生、发展和贸易利益，揭示其特点与运动规律的学科，其研究对象包括：各个历史发展阶段国际商品流通的一般规律性、国际贸易理论、对外贸易政策。</w:t>
      </w:r>
      <w:r>
        <w:rPr>
          <w:rFonts w:hint="eastAsia" w:ascii="楷体_GB2312" w:hAnsi="宋体" w:eastAsia="楷体_GB2312"/>
          <w:color w:val="000000"/>
          <w:szCs w:val="21"/>
        </w:rPr>
        <w:t>具有较好的国际贸易学理论功底是进入国际贸易学专业研究生阶段学习的基本要求。本课程的考核要求是：考生能够掌握国际贸易学及国际贸易实务的基本理论、基本知识，能够运用国际贸易学的基本理论分析</w:t>
      </w:r>
      <w:r>
        <w:rPr>
          <w:rFonts w:hint="eastAsia" w:ascii="楷体_GB2312" w:hAnsi="宋体" w:eastAsia="楷体_GB2312" w:cs="宋体"/>
          <w:color w:val="000000"/>
          <w:kern w:val="0"/>
          <w:szCs w:val="21"/>
          <w:shd w:val="clear" w:color="auto" w:fill="FFFFFF"/>
        </w:rPr>
        <w:t>国内外的国际贸易新现象、新问题，具有进行国际贸易进出口业务操作的基本能力。</w:t>
      </w:r>
    </w:p>
    <w:p>
      <w:pPr>
        <w:widowControl/>
        <w:spacing w:line="520" w:lineRule="exact"/>
        <w:jc w:val="center"/>
        <w:rPr>
          <w:rFonts w:hint="eastAsia" w:ascii="黑体" w:hAnsi="宋体" w:eastAsia="黑体"/>
          <w:sz w:val="32"/>
          <w:szCs w:val="32"/>
        </w:rPr>
      </w:pPr>
      <w:r>
        <w:rPr>
          <w:rFonts w:hint="eastAsia" w:ascii="黑体" w:eastAsia="黑体"/>
          <w:sz w:val="32"/>
          <w:szCs w:val="32"/>
        </w:rPr>
        <w:t>二、</w:t>
      </w:r>
      <w:r>
        <w:rPr>
          <w:rFonts w:hint="eastAsia" w:ascii="黑体" w:hAnsi="宋体" w:eastAsia="黑体"/>
          <w:sz w:val="32"/>
          <w:szCs w:val="32"/>
        </w:rPr>
        <w:t>考核评价目标</w:t>
      </w:r>
    </w:p>
    <w:p>
      <w:pPr>
        <w:ind w:firstLine="308" w:firstLineChars="147"/>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 xml:space="preserve"> 1、认识课程的性质、研究对象及任务，掌握课程的基本内容、体系和结构。</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2、掌握国际贸易理论与实务的基本概念、基本知识和基本原理，具有基本的国际贸易学思维能力。</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3、能够运用国际贸易学和国际贸易实务的基本理论原理分析实际问题，并提出自己的独立见解。</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4、基本掌握国际贸易学的研究方法和分析工具。</w:t>
      </w:r>
    </w:p>
    <w:p>
      <w:pPr>
        <w:ind w:firstLine="420" w:firstLineChars="200"/>
        <w:rPr>
          <w:rFonts w:hint="eastAsia" w:ascii="楷体_GB2312" w:hAnsi="宋体" w:eastAsia="楷体_GB2312" w:cs="宋体"/>
          <w:color w:val="000000"/>
          <w:kern w:val="0"/>
          <w:szCs w:val="21"/>
          <w:shd w:val="clear" w:color="auto" w:fill="FFFFFF"/>
        </w:rPr>
      </w:pPr>
      <w:r>
        <w:rPr>
          <w:rFonts w:hint="eastAsia" w:ascii="楷体_GB2312" w:hAnsi="宋体" w:eastAsia="楷体_GB2312" w:cs="宋体"/>
          <w:color w:val="000000"/>
          <w:kern w:val="0"/>
          <w:szCs w:val="21"/>
          <w:shd w:val="clear" w:color="auto" w:fill="FFFFFF"/>
        </w:rPr>
        <w:t>5、对本学科的热点问题和前沿课题有所了解。</w:t>
      </w:r>
    </w:p>
    <w:p>
      <w:pPr>
        <w:ind w:firstLine="470" w:firstLineChars="147"/>
        <w:jc w:val="center"/>
        <w:rPr>
          <w:rFonts w:hint="eastAsia" w:ascii="黑体" w:eastAsia="黑体"/>
          <w:sz w:val="32"/>
          <w:szCs w:val="32"/>
        </w:rPr>
      </w:pPr>
      <w:r>
        <w:rPr>
          <w:rFonts w:hint="eastAsia" w:ascii="黑体" w:eastAsia="黑体"/>
          <w:sz w:val="32"/>
          <w:szCs w:val="32"/>
        </w:rPr>
        <w:t>三、考核内容</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第一章  国际贸易学导论</w:t>
      </w:r>
    </w:p>
    <w:p>
      <w:pPr>
        <w:adjustRightInd w:val="0"/>
        <w:snapToGrid w:val="0"/>
        <w:ind w:firstLine="420" w:firstLineChars="200"/>
        <w:rPr>
          <w:rFonts w:hint="eastAsia" w:ascii="楷体_GB2312" w:hAnsi="宋体" w:eastAsia="楷体_GB2312"/>
          <w:bCs/>
          <w:caps/>
          <w:color w:val="000000"/>
          <w:szCs w:val="21"/>
        </w:rPr>
      </w:pPr>
      <w:r>
        <w:rPr>
          <w:rFonts w:hint="eastAsia" w:ascii="楷体_GB2312" w:hAnsi="宋体" w:eastAsia="楷体_GB2312"/>
          <w:bCs/>
          <w:color w:val="000000"/>
          <w:szCs w:val="21"/>
        </w:rPr>
        <w:t xml:space="preserve">第一节  </w:t>
      </w:r>
      <w:r>
        <w:rPr>
          <w:rFonts w:hint="eastAsia" w:ascii="楷体_GB2312" w:hAnsi="宋体" w:eastAsia="楷体_GB2312"/>
          <w:bCs/>
          <w:caps/>
          <w:color w:val="000000"/>
          <w:szCs w:val="21"/>
        </w:rPr>
        <w:t>国际贸易的产生与发展</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一、国际贸易的产生</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olor w:val="000000"/>
          <w:szCs w:val="21"/>
        </w:rPr>
        <w:t>二、国际贸易的发展</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国际贸易理论的产生和发展</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一、国际贸易理论的产生</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二、国际贸易理论的发展</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三、国际贸易理论的体系结构</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国际贸易的基本概念与分类</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一、国际贸易的基本概念</w:t>
      </w:r>
    </w:p>
    <w:p>
      <w:pPr>
        <w:adjustRightInd w:val="0"/>
        <w:snapToGrid w:val="0"/>
        <w:ind w:firstLine="840" w:firstLineChars="400"/>
        <w:rPr>
          <w:rFonts w:hint="eastAsia" w:ascii="楷体_GB2312" w:hAnsi="宋体" w:eastAsia="楷体_GB2312"/>
          <w:bCs/>
          <w:caps/>
          <w:color w:val="000000"/>
          <w:szCs w:val="21"/>
        </w:rPr>
      </w:pPr>
      <w:r>
        <w:rPr>
          <w:rFonts w:hint="eastAsia" w:ascii="楷体_GB2312" w:hAnsi="宋体" w:eastAsia="楷体_GB2312"/>
          <w:bCs/>
          <w:caps/>
          <w:color w:val="000000"/>
          <w:szCs w:val="21"/>
        </w:rPr>
        <w:t>二、国际贸易的分类</w:t>
      </w:r>
    </w:p>
    <w:p>
      <w:pPr>
        <w:adjustRightInd w:val="0"/>
        <w:snapToGrid w:val="0"/>
        <w:rPr>
          <w:rFonts w:hint="eastAsia" w:ascii="楷体_GB2312" w:hAnsi="宋体" w:eastAsia="楷体_GB2312"/>
          <w:bCs/>
          <w:caps/>
          <w:color w:val="000000"/>
          <w:szCs w:val="21"/>
        </w:rPr>
      </w:pPr>
      <w:r>
        <w:rPr>
          <w:rFonts w:hint="eastAsia" w:ascii="楷体_GB2312" w:hAnsi="宋体" w:eastAsia="楷体_GB2312"/>
          <w:bCs/>
          <w:color w:val="000000"/>
          <w:szCs w:val="21"/>
        </w:rPr>
        <w:t>第二章  古典国际贸易理论</w:t>
      </w:r>
    </w:p>
    <w:p>
      <w:pPr>
        <w:pStyle w:val="8"/>
        <w:widowControl w:val="0"/>
        <w:adjustRightInd w:val="0"/>
        <w:snapToGrid w:val="0"/>
        <w:spacing w:before="0" w:beforeAutospacing="0" w:after="0" w:afterAutospacing="0"/>
        <w:ind w:firstLine="420"/>
        <w:rPr>
          <w:rFonts w:hint="eastAsia" w:ascii="楷体_GB2312" w:eastAsia="楷体_GB2312"/>
          <w:bCs/>
          <w:color w:val="000000"/>
          <w:sz w:val="21"/>
          <w:szCs w:val="21"/>
        </w:rPr>
      </w:pPr>
      <w:bookmarkStart w:id="0" w:name="a2"/>
      <w:bookmarkStart w:id="1" w:name="_Toc77605915"/>
      <w:bookmarkStart w:id="2" w:name="_Toc77353743"/>
      <w:bookmarkStart w:id="3" w:name="_Toc77353999"/>
      <w:r>
        <w:rPr>
          <w:rFonts w:hint="eastAsia" w:ascii="楷体_GB2312" w:eastAsia="楷体_GB2312"/>
          <w:bCs/>
          <w:color w:val="000000"/>
          <w:sz w:val="21"/>
          <w:szCs w:val="21"/>
        </w:rPr>
        <w:t>第一节  绝对</w:t>
      </w:r>
      <w:r>
        <w:rPr>
          <w:rStyle w:val="11"/>
          <w:rFonts w:hint="eastAsia" w:ascii="楷体_GB2312" w:eastAsia="楷体_GB2312"/>
          <w:b w:val="0"/>
          <w:color w:val="000000"/>
          <w:sz w:val="21"/>
          <w:szCs w:val="21"/>
        </w:rPr>
        <w:t>优势</w:t>
      </w:r>
      <w:r>
        <w:rPr>
          <w:rFonts w:hint="eastAsia" w:ascii="楷体_GB2312" w:eastAsia="楷体_GB2312"/>
          <w:bCs/>
          <w:color w:val="000000"/>
          <w:sz w:val="21"/>
          <w:szCs w:val="21"/>
        </w:rPr>
        <w:t>理论</w:t>
      </w:r>
      <w:bookmarkEnd w:id="0"/>
      <w:r>
        <w:rPr>
          <w:rFonts w:hint="eastAsia" w:ascii="楷体_GB2312" w:eastAsia="楷体_GB2312"/>
          <w:bCs/>
          <w:color w:val="000000"/>
          <w:sz w:val="21"/>
          <w:szCs w:val="21"/>
        </w:rPr>
        <w:t xml:space="preserve"> </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一、绝对优势理论产生的背景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二、绝对优势理论的基本假设</w:t>
      </w:r>
    </w:p>
    <w:p>
      <w:pPr>
        <w:adjustRightInd w:val="0"/>
        <w:snapToGrid w:val="0"/>
        <w:ind w:firstLine="840" w:firstLineChars="400"/>
        <w:rPr>
          <w:rFonts w:hint="eastAsia" w:ascii="楷体_GB2312" w:hAnsi="宋体" w:eastAsia="楷体_GB2312"/>
          <w:szCs w:val="21"/>
        </w:rPr>
      </w:pPr>
      <w:r>
        <w:rPr>
          <w:rFonts w:hint="eastAsia" w:ascii="楷体_GB2312" w:hAnsi="宋体" w:eastAsia="楷体_GB2312"/>
          <w:szCs w:val="21"/>
        </w:rPr>
        <w:t>三、绝对优势理论的基本内容</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四、绝对成本理论中的基本概念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五、绝对成本理论的基本模型</w:t>
      </w:r>
      <w:bookmarkEnd w:id="1"/>
      <w:bookmarkEnd w:id="2"/>
      <w:bookmarkEnd w:id="3"/>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六、对绝对优势理论的评价</w:t>
      </w:r>
    </w:p>
    <w:p>
      <w:pPr>
        <w:adjustRightInd w:val="0"/>
        <w:snapToGrid w:val="0"/>
        <w:ind w:firstLine="420" w:firstLineChars="200"/>
        <w:rPr>
          <w:rFonts w:hint="eastAsia" w:ascii="楷体_GB2312" w:hAnsi="宋体" w:eastAsia="楷体_GB2312"/>
          <w:bCs/>
          <w:color w:val="000000"/>
          <w:szCs w:val="21"/>
        </w:rPr>
      </w:pPr>
      <w:bookmarkStart w:id="4" w:name="a3"/>
      <w:r>
        <w:rPr>
          <w:rFonts w:hint="eastAsia" w:ascii="楷体_GB2312" w:hAnsi="宋体" w:eastAsia="楷体_GB2312"/>
          <w:bCs/>
          <w:color w:val="000000"/>
          <w:szCs w:val="21"/>
        </w:rPr>
        <w:t>第二节  比较优势理论</w:t>
      </w:r>
    </w:p>
    <w:bookmarkEnd w:id="4"/>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一、比较优势理论产生的背景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二、比较优势理论的基本假设</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三、比较优势理论的基本内容</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五、比较优势理论简评</w:t>
      </w:r>
      <w:r>
        <w:rPr>
          <w:rFonts w:hint="eastAsia" w:eastAsia="楷体_GB2312"/>
          <w:szCs w:val="21"/>
        </w:rPr>
        <w:t> </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六、比较优势理论与绝对优势理论的关系</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 xml:space="preserve">第三节  </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w:t>
      </w:r>
      <w:bookmarkStart w:id="5" w:name="_Toc77605920"/>
      <w:bookmarkStart w:id="6" w:name="_Toc77354004"/>
      <w:bookmarkStart w:id="7" w:name="_Toc77353748"/>
    </w:p>
    <w:bookmarkEnd w:id="5"/>
    <w:bookmarkEnd w:id="6"/>
    <w:bookmarkEnd w:id="7"/>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理论产生的背景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理论的内容</w:t>
      </w:r>
    </w:p>
    <w:p>
      <w:pPr>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szCs w:val="21"/>
        </w:rPr>
        <w:t>三、对</w:t>
      </w:r>
      <w:r>
        <w:rPr>
          <w:rFonts w:hint="eastAsia" w:ascii="楷体_GB2312" w:hAnsi="宋体" w:eastAsia="楷体_GB2312"/>
          <w:bCs/>
          <w:color w:val="000000"/>
          <w:szCs w:val="21"/>
          <w:lang/>
        </w:rPr>
        <w:t>相互需求</w:t>
      </w:r>
      <w:r>
        <w:rPr>
          <w:rFonts w:hint="eastAsia" w:ascii="楷体_GB2312" w:hAnsi="宋体" w:eastAsia="楷体_GB2312"/>
          <w:bCs/>
          <w:color w:val="000000"/>
          <w:szCs w:val="21"/>
        </w:rPr>
        <w:t>理论评价</w:t>
      </w:r>
    </w:p>
    <w:p>
      <w:pPr>
        <w:adjustRightInd w:val="0"/>
        <w:snapToGrid w:val="0"/>
        <w:ind w:firstLine="420"/>
        <w:rPr>
          <w:rFonts w:hint="eastAsia" w:ascii="楷体_GB2312" w:hAnsi="宋体" w:eastAsia="楷体_GB2312" w:cs="宋体"/>
          <w:bCs/>
          <w:color w:val="000000"/>
          <w:kern w:val="0"/>
          <w:szCs w:val="21"/>
        </w:rPr>
      </w:pPr>
      <w:r>
        <w:rPr>
          <w:rFonts w:hint="eastAsia" w:ascii="楷体_GB2312" w:hAnsi="宋体" w:eastAsia="楷体_GB2312"/>
          <w:bCs/>
          <w:color w:val="000000"/>
          <w:szCs w:val="21"/>
        </w:rPr>
        <w:t xml:space="preserve">第四节  </w:t>
      </w:r>
      <w:r>
        <w:rPr>
          <w:rFonts w:hint="eastAsia" w:ascii="楷体_GB2312" w:hAnsi="宋体" w:eastAsia="楷体_GB2312" w:cs="宋体"/>
          <w:bCs/>
          <w:color w:val="000000"/>
          <w:kern w:val="0"/>
          <w:szCs w:val="21"/>
        </w:rPr>
        <w:t>比较优势的度量指标</w:t>
      </w:r>
    </w:p>
    <w:p>
      <w:pPr>
        <w:adjustRightInd w:val="0"/>
        <w:snapToGrid w:val="0"/>
        <w:ind w:firstLine="840" w:firstLineChars="400"/>
        <w:rPr>
          <w:rStyle w:val="11"/>
          <w:rFonts w:hint="eastAsia" w:ascii="楷体_GB2312" w:hAnsi="宋体" w:eastAsia="楷体_GB2312"/>
          <w:b w:val="0"/>
          <w:color w:val="000000"/>
          <w:szCs w:val="21"/>
        </w:rPr>
      </w:pPr>
      <w:r>
        <w:rPr>
          <w:rStyle w:val="11"/>
          <w:rFonts w:hint="eastAsia" w:ascii="楷体_GB2312" w:hAnsi="宋体" w:eastAsia="楷体_GB2312"/>
          <w:b w:val="0"/>
          <w:color w:val="000000"/>
          <w:szCs w:val="21"/>
        </w:rPr>
        <w:t>一</w:t>
      </w:r>
      <w:r>
        <w:rPr>
          <w:rStyle w:val="14"/>
          <w:rFonts w:hint="eastAsia" w:ascii="楷体_GB2312" w:hAnsi="宋体" w:eastAsia="楷体_GB2312"/>
          <w:bCs/>
          <w:color w:val="000000"/>
          <w:sz w:val="21"/>
          <w:szCs w:val="21"/>
        </w:rPr>
        <w:t>、</w:t>
      </w:r>
      <w:r>
        <w:rPr>
          <w:rStyle w:val="11"/>
          <w:rFonts w:hint="eastAsia" w:ascii="楷体_GB2312" w:hAnsi="宋体" w:eastAsia="楷体_GB2312"/>
          <w:b w:val="0"/>
          <w:color w:val="000000"/>
          <w:szCs w:val="21"/>
        </w:rPr>
        <w:t>显示性比较优势指数</w:t>
      </w:r>
    </w:p>
    <w:p>
      <w:pPr>
        <w:adjustRightInd w:val="0"/>
        <w:snapToGrid w:val="0"/>
        <w:ind w:firstLine="840" w:firstLineChars="400"/>
        <w:rPr>
          <w:rStyle w:val="13"/>
          <w:rFonts w:hint="eastAsia" w:ascii="楷体_GB2312" w:hAnsi="宋体" w:eastAsia="楷体_GB2312"/>
          <w:bCs/>
          <w:sz w:val="21"/>
          <w:szCs w:val="21"/>
        </w:rPr>
      </w:pPr>
      <w:r>
        <w:rPr>
          <w:rStyle w:val="13"/>
          <w:rFonts w:hint="eastAsia" w:ascii="楷体_GB2312" w:hAnsi="宋体" w:eastAsia="楷体_GB2312"/>
          <w:bCs/>
          <w:sz w:val="21"/>
          <w:szCs w:val="21"/>
        </w:rPr>
        <w:t>二、区域显示性比较优势指数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三、贸易竞争优势指数</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第三章  新古典国际贸易理论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赫克歇尔—俄林的要素禀赋理论</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bCs/>
          <w:sz w:val="21"/>
          <w:szCs w:val="21"/>
        </w:rPr>
      </w:pPr>
      <w:r>
        <w:rPr>
          <w:rFonts w:hint="eastAsia" w:ascii="楷体_GB2312" w:hAnsi="宋体" w:eastAsia="楷体_GB2312"/>
          <w:bCs/>
          <w:sz w:val="21"/>
          <w:szCs w:val="21"/>
        </w:rPr>
        <w:t>一、要素禀赋理论产生的背景</w:t>
      </w:r>
    </w:p>
    <w:p>
      <w:pPr>
        <w:pStyle w:val="12"/>
        <w:widowControl w:val="0"/>
        <w:adjustRightInd w:val="0"/>
        <w:snapToGrid w:val="0"/>
        <w:spacing w:before="0" w:beforeAutospacing="0" w:after="0" w:afterAutospacing="0" w:line="240" w:lineRule="auto"/>
        <w:ind w:firstLine="840" w:firstLineChars="400"/>
        <w:rPr>
          <w:rStyle w:val="15"/>
          <w:rFonts w:hint="eastAsia" w:ascii="楷体_GB2312" w:hAnsi="宋体" w:eastAsia="楷体_GB2312"/>
          <w:bCs/>
          <w:sz w:val="21"/>
          <w:szCs w:val="21"/>
        </w:rPr>
      </w:pPr>
      <w:r>
        <w:rPr>
          <w:rFonts w:hint="eastAsia" w:ascii="楷体_GB2312" w:hAnsi="宋体" w:eastAsia="楷体_GB2312"/>
          <w:sz w:val="21"/>
          <w:szCs w:val="21"/>
        </w:rPr>
        <w:t>二、要素禀赋</w:t>
      </w:r>
      <w:r>
        <w:rPr>
          <w:rStyle w:val="15"/>
          <w:rFonts w:hint="eastAsia" w:ascii="楷体_GB2312" w:hAnsi="宋体" w:eastAsia="楷体_GB2312"/>
          <w:bCs/>
          <w:sz w:val="21"/>
          <w:szCs w:val="21"/>
        </w:rPr>
        <w:t>理论</w:t>
      </w:r>
      <w:r>
        <w:rPr>
          <w:rFonts w:hint="eastAsia" w:ascii="楷体_GB2312" w:hAnsi="宋体" w:eastAsia="楷体_GB2312"/>
          <w:sz w:val="21"/>
          <w:szCs w:val="21"/>
        </w:rPr>
        <w:t>的基本</w:t>
      </w:r>
      <w:r>
        <w:rPr>
          <w:rStyle w:val="15"/>
          <w:rFonts w:hint="eastAsia" w:ascii="楷体_GB2312" w:hAnsi="宋体" w:eastAsia="楷体_GB2312"/>
          <w:bCs/>
          <w:sz w:val="21"/>
          <w:szCs w:val="21"/>
        </w:rPr>
        <w:t>假设</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sz w:val="21"/>
          <w:szCs w:val="21"/>
        </w:rPr>
      </w:pPr>
      <w:r>
        <w:rPr>
          <w:rFonts w:hint="eastAsia" w:ascii="楷体_GB2312" w:hAnsi="宋体" w:eastAsia="楷体_GB2312"/>
          <w:sz w:val="21"/>
          <w:szCs w:val="21"/>
        </w:rPr>
        <w:t>三、要素禀赋理论</w:t>
      </w:r>
      <w:r>
        <w:rPr>
          <w:rStyle w:val="11"/>
          <w:rFonts w:hint="eastAsia" w:ascii="楷体_GB2312" w:hAnsi="宋体" w:eastAsia="楷体_GB2312"/>
          <w:b w:val="0"/>
          <w:sz w:val="21"/>
          <w:szCs w:val="21"/>
        </w:rPr>
        <w:t>中</w:t>
      </w:r>
      <w:r>
        <w:rPr>
          <w:rFonts w:hint="eastAsia" w:ascii="楷体_GB2312" w:hAnsi="宋体" w:eastAsia="楷体_GB2312"/>
          <w:sz w:val="21"/>
          <w:szCs w:val="21"/>
        </w:rPr>
        <w:t>的基本概念</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sz w:val="21"/>
          <w:szCs w:val="21"/>
        </w:rPr>
      </w:pPr>
      <w:r>
        <w:rPr>
          <w:rFonts w:hint="eastAsia" w:ascii="楷体_GB2312" w:hAnsi="宋体" w:eastAsia="楷体_GB2312"/>
          <w:sz w:val="21"/>
          <w:szCs w:val="21"/>
        </w:rPr>
        <w:t>四、要素禀赋理论的基本内容</w:t>
      </w:r>
    </w:p>
    <w:p>
      <w:pPr>
        <w:pStyle w:val="12"/>
        <w:widowControl w:val="0"/>
        <w:adjustRightInd w:val="0"/>
        <w:snapToGrid w:val="0"/>
        <w:spacing w:before="0" w:beforeAutospacing="0" w:after="0" w:afterAutospacing="0" w:line="240" w:lineRule="auto"/>
        <w:ind w:firstLine="840" w:firstLineChars="400"/>
        <w:rPr>
          <w:rFonts w:hint="eastAsia" w:ascii="楷体_GB2312" w:hAnsi="宋体" w:eastAsia="楷体_GB2312"/>
          <w:sz w:val="21"/>
          <w:szCs w:val="21"/>
        </w:rPr>
      </w:pPr>
      <w:r>
        <w:rPr>
          <w:rFonts w:hint="eastAsia" w:ascii="楷体_GB2312" w:hAnsi="宋体" w:eastAsia="楷体_GB2312"/>
          <w:sz w:val="21"/>
          <w:szCs w:val="21"/>
        </w:rPr>
        <w:t>五、对赫克歇尔-俄林模型的评价</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对赫克歇尔-俄林模型的验证</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一、对H-O模型验证的背景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二、里昂惕夫对H-O模型的经验检验</w:t>
      </w:r>
      <w:bookmarkStart w:id="8" w:name="_Toc77354014"/>
      <w:bookmarkStart w:id="9" w:name="_Toc77353758"/>
      <w:bookmarkStart w:id="10" w:name="_Toc77605930"/>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三、其他经济学家对H-O模型的经验检验</w:t>
      </w:r>
      <w:bookmarkEnd w:id="8"/>
      <w:bookmarkEnd w:id="9"/>
      <w:bookmarkEnd w:id="10"/>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对“里昂惕夫之迷”的解释</w:t>
      </w:r>
    </w:p>
    <w:p>
      <w:pPr>
        <w:pStyle w:val="8"/>
        <w:widowControl w:val="0"/>
        <w:adjustRightInd w:val="0"/>
        <w:snapToGrid w:val="0"/>
        <w:spacing w:before="0" w:beforeAutospacing="0" w:after="0" w:afterAutospacing="0"/>
        <w:ind w:firstLine="840" w:firstLineChars="400"/>
        <w:rPr>
          <w:rFonts w:hint="eastAsia" w:ascii="楷体_GB2312" w:eastAsia="楷体_GB2312"/>
          <w:sz w:val="21"/>
          <w:szCs w:val="21"/>
        </w:rPr>
      </w:pPr>
      <w:r>
        <w:rPr>
          <w:rFonts w:hint="eastAsia" w:ascii="楷体_GB2312" w:eastAsia="楷体_GB2312"/>
          <w:sz w:val="21"/>
          <w:szCs w:val="21"/>
        </w:rPr>
        <w:t>一、针对里昂惕夫检验方法的解释</w:t>
      </w:r>
      <w:bookmarkStart w:id="11" w:name="_Toc77353762"/>
      <w:bookmarkStart w:id="12" w:name="_Toc77354018"/>
      <w:bookmarkStart w:id="13" w:name="_Toc77605934"/>
    </w:p>
    <w:p>
      <w:pPr>
        <w:pStyle w:val="8"/>
        <w:widowControl w:val="0"/>
        <w:adjustRightInd w:val="0"/>
        <w:snapToGrid w:val="0"/>
        <w:spacing w:before="0" w:beforeAutospacing="0" w:after="0" w:afterAutospacing="0"/>
        <w:ind w:firstLine="840" w:firstLineChars="400"/>
        <w:rPr>
          <w:rFonts w:hint="eastAsia" w:ascii="楷体_GB2312" w:eastAsia="楷体_GB2312"/>
          <w:sz w:val="21"/>
          <w:szCs w:val="21"/>
        </w:rPr>
      </w:pPr>
      <w:r>
        <w:rPr>
          <w:rFonts w:hint="eastAsia" w:ascii="楷体_GB2312" w:eastAsia="楷体_GB2312"/>
          <w:sz w:val="21"/>
          <w:szCs w:val="21"/>
        </w:rPr>
        <w:t>二</w:t>
      </w:r>
      <w:bookmarkEnd w:id="11"/>
      <w:bookmarkEnd w:id="12"/>
      <w:bookmarkEnd w:id="13"/>
      <w:r>
        <w:rPr>
          <w:rFonts w:hint="eastAsia" w:ascii="楷体_GB2312" w:eastAsia="楷体_GB2312"/>
          <w:sz w:val="21"/>
          <w:szCs w:val="21"/>
        </w:rPr>
        <w:t>、针对H-O模型内容的解释</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赫克歇尔—俄林模型的拓展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一、斯托尔珀-萨缪尔森定理</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二、H-O-S定理</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三、雷布钦斯基定理</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第四章  当代新国际贸易理论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产品生命周期理论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一、产品生命周期的理论基础</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二、产品生命周期理论的基本内容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三、产品生命周期理论的扩展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四、产品生命周期理论的意义及局限性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产业内贸易理论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一、产业内贸易的概念、类型与特点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二、产业内贸易的测量指标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三、产业内贸易的理论解释</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四、产业内贸易与产业间贸易的比较</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五、对产业内贸易理论的评价</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规模经济理论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一、早期关于规模经济与国际贸易的主要论点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二、规模经济与国际贸易</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需求偏好重叠理论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一、需求偏好重叠理论的提出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二、重叠需求与国际贸易</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三、需求偏好重叠理论的意义</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第五节  国家竞争优势理论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一、国家竞争优势理论的核心观点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二、国家竞争优势理论的思想体系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三、国家竞争优势理论的意义与局限性</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第五章  保护贸易理论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重商主义贸易理论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一、重商主义产生和发展的历史条件</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二、重商主义的发展阶段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三、重商主义经济学说的基本观点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四、重商主义贸易理论的意义及局限性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幼稚产业保护理论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一、幼稚产业保护论提出的历史背景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二、幼稚产业的判断标准（M-B-K标准）</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三、幼稚产业保护论的理论基础与依据</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四、幼稚产业保护论的基本观点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五、幼稚工业保护论的意义及局限性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超保护贸易理论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一、凯恩斯主义超保护贸易理论产生的历史背景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二、凯恩斯主义超保护贸易论的思想内容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三、凯恩斯主义超保护贸易理论的意义及局限性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战略性贸易理论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一、战略性贸易理论产生的历史背景</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二、战略性贸易理论的基本思想内容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三、战略性国际贸易理论的效果分析</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四、实施战略性贸易政策的意义及局限性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第五节  其他贸易保护理论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一、保护关税理论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二、中心—外围理论（结构主义贸易保护理论）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三、管理贸易理论</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第六章  关税措施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关税概述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一、关税的概念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二、关税的性质与特点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三、关税的作用</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关税的分类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一、按征收对象或商品流动方向分类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二、按征税目的分类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三、按特定的实施情况分类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四、按差别待遇分类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五、按征收标准分类</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关税的征收</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一、关税的征收依据</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二、关税的征收方法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三、关税的征收程序</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关税的经济效应</w:t>
      </w:r>
      <w:bookmarkStart w:id="14" w:name="_Toc171396207"/>
      <w:bookmarkStart w:id="15" w:name="_Toc171395196"/>
      <w:bookmarkStart w:id="16" w:name="_Toc171395236"/>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cs="Arial"/>
          <w:bCs/>
          <w:color w:val="000000"/>
          <w:kern w:val="0"/>
          <w:szCs w:val="21"/>
        </w:rPr>
        <w:t>一、贸易“小国”关税经济效应</w:t>
      </w:r>
      <w:bookmarkEnd w:id="14"/>
      <w:bookmarkEnd w:id="15"/>
      <w:bookmarkEnd w:id="16"/>
      <w:r>
        <w:rPr>
          <w:rFonts w:hint="eastAsia" w:ascii="楷体_GB2312" w:hAnsi="宋体" w:eastAsia="楷体_GB2312" w:cs="Arial"/>
          <w:bCs/>
          <w:color w:val="000000"/>
          <w:kern w:val="0"/>
          <w:szCs w:val="21"/>
        </w:rPr>
        <w:t>的</w:t>
      </w:r>
      <w:r>
        <w:rPr>
          <w:rFonts w:hint="eastAsia" w:ascii="楷体_GB2312" w:hAnsi="宋体" w:eastAsia="楷体_GB2312"/>
          <w:bCs/>
          <w:color w:val="000000"/>
          <w:szCs w:val="21"/>
        </w:rPr>
        <w:t>局部均衡分析</w:t>
      </w:r>
      <w:bookmarkStart w:id="17" w:name="_Toc171395238"/>
      <w:bookmarkStart w:id="18" w:name="_Toc171396209"/>
      <w:bookmarkStart w:id="19" w:name="_Toc171395198"/>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cs="Arial"/>
          <w:bCs/>
          <w:color w:val="000000"/>
          <w:kern w:val="0"/>
          <w:szCs w:val="21"/>
        </w:rPr>
        <w:t>二、贸易“大国”关税经济效应的</w:t>
      </w:r>
      <w:r>
        <w:rPr>
          <w:rFonts w:hint="eastAsia" w:ascii="楷体_GB2312" w:hAnsi="宋体" w:eastAsia="楷体_GB2312"/>
          <w:bCs/>
          <w:color w:val="000000"/>
          <w:szCs w:val="21"/>
        </w:rPr>
        <w:t>局部均衡分析</w:t>
      </w:r>
    </w:p>
    <w:bookmarkEnd w:id="17"/>
    <w:bookmarkEnd w:id="18"/>
    <w:bookmarkEnd w:id="19"/>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第五节  关税的保护程度</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一、关税水平</w:t>
      </w:r>
    </w:p>
    <w:p>
      <w:pPr>
        <w:adjustRightInd w:val="0"/>
        <w:snapToGrid w:val="0"/>
        <w:ind w:firstLine="840" w:firstLineChars="400"/>
        <w:rPr>
          <w:rFonts w:hint="eastAsia" w:ascii="楷体_GB2312" w:hAnsi="宋体" w:eastAsia="楷体_GB2312" w:cs="Arial"/>
          <w:bCs/>
          <w:color w:val="000000"/>
          <w:kern w:val="0"/>
          <w:szCs w:val="21"/>
        </w:rPr>
      </w:pPr>
      <w:r>
        <w:rPr>
          <w:rFonts w:hint="eastAsia" w:ascii="楷体_GB2312" w:hAnsi="宋体" w:eastAsia="楷体_GB2312" w:cs="Arial"/>
          <w:bCs/>
          <w:color w:val="000000"/>
          <w:kern w:val="0"/>
          <w:szCs w:val="21"/>
        </w:rPr>
        <w:t>二、关税保护率</w:t>
      </w:r>
    </w:p>
    <w:p>
      <w:pPr>
        <w:adjustRightInd w:val="0"/>
        <w:snapToGrid w:val="0"/>
        <w:ind w:firstLine="840" w:firstLineChars="400"/>
        <w:rPr>
          <w:rFonts w:hint="eastAsia" w:ascii="楷体_GB2312" w:hAnsi="宋体" w:eastAsia="楷体_GB2312" w:cs="Arial"/>
          <w:bCs/>
          <w:color w:val="000000"/>
          <w:kern w:val="0"/>
          <w:szCs w:val="21"/>
        </w:rPr>
      </w:pPr>
      <w:r>
        <w:rPr>
          <w:rFonts w:hint="eastAsia" w:ascii="楷体_GB2312" w:hAnsi="宋体" w:eastAsia="楷体_GB2312" w:cs="Arial"/>
          <w:bCs/>
          <w:color w:val="000000"/>
          <w:kern w:val="0"/>
          <w:szCs w:val="21"/>
        </w:rPr>
        <w:t>三、关税结构</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第七章  非关税措施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非关税措施概述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一、非关税壁垒的含义</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二、非关税壁垒的特点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三、非关税壁垒的作用</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四、非关税壁垒的种类</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直接限制进口的非关税壁垒措施</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一、进口配额</w:t>
      </w:r>
      <w:bookmarkStart w:id="20" w:name="_Toc471338090"/>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二、自动出口配额</w:t>
      </w:r>
      <w:bookmarkEnd w:id="20"/>
      <w:bookmarkStart w:id="21" w:name="_Toc471338091"/>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bCs/>
          <w:color w:val="000000"/>
          <w:szCs w:val="21"/>
        </w:rPr>
        <w:t>三、</w:t>
      </w:r>
      <w:r>
        <w:rPr>
          <w:rFonts w:hint="eastAsia" w:ascii="楷体_GB2312" w:hAnsi="宋体" w:eastAsia="楷体_GB2312" w:cs="宋体"/>
          <w:bCs/>
          <w:color w:val="000000"/>
          <w:kern w:val="0"/>
          <w:szCs w:val="21"/>
        </w:rPr>
        <w:t>进口许可证</w:t>
      </w:r>
    </w:p>
    <w:bookmarkEnd w:id="21"/>
    <w:p>
      <w:pPr>
        <w:widowControl/>
        <w:adjustRightInd w:val="0"/>
        <w:snapToGrid w:val="0"/>
        <w:ind w:firstLine="420" w:firstLineChars="200"/>
        <w:rPr>
          <w:rFonts w:hint="eastAsia" w:ascii="楷体_GB2312" w:hAnsi="宋体" w:eastAsia="楷体_GB2312" w:cs="宋体"/>
          <w:bCs/>
          <w:i/>
          <w:color w:val="000000"/>
          <w:kern w:val="0"/>
          <w:szCs w:val="21"/>
        </w:rPr>
      </w:pPr>
      <w:r>
        <w:rPr>
          <w:rFonts w:hint="eastAsia" w:ascii="楷体_GB2312" w:hAnsi="宋体" w:eastAsia="楷体_GB2312" w:cs="宋体"/>
          <w:bCs/>
          <w:color w:val="000000"/>
          <w:kern w:val="0"/>
          <w:szCs w:val="21"/>
        </w:rPr>
        <w:t>第三节  间接限制进口的非关税壁垒措施</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一、</w:t>
      </w:r>
      <w:bookmarkStart w:id="22" w:name="_Toc471338092"/>
      <w:r>
        <w:rPr>
          <w:rFonts w:hint="eastAsia" w:ascii="楷体_GB2312" w:hAnsi="宋体" w:eastAsia="楷体_GB2312" w:cs="宋体"/>
          <w:bCs/>
          <w:color w:val="000000"/>
          <w:kern w:val="0"/>
          <w:szCs w:val="21"/>
        </w:rPr>
        <w:t>外汇管制</w:t>
      </w:r>
      <w:bookmarkEnd w:id="22"/>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二、歧视性政府采购政策</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三、海关程序</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四、技术性贸易壁垒</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五、进出口的国家垄断</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六、进口押金制</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七、最低限价制和禁止进口</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八、国内税</w:t>
      </w:r>
    </w:p>
    <w:p>
      <w:pPr>
        <w:widowControl/>
        <w:adjustRightInd w:val="0"/>
        <w:snapToGrid w:val="0"/>
        <w:ind w:firstLine="420" w:firstLineChars="2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第四节  新型非关税壁垒措施</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一、绿色贸易壁垒</w:t>
      </w:r>
    </w:p>
    <w:p>
      <w:pPr>
        <w:widowControl/>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二、蓝色贸易壁垒</w:t>
      </w:r>
    </w:p>
    <w:p>
      <w:pPr>
        <w:widowControl/>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三、反倾销措施</w:t>
      </w:r>
    </w:p>
    <w:p>
      <w:pPr>
        <w:widowControl/>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四、反补贴措施</w:t>
      </w:r>
    </w:p>
    <w:p>
      <w:pPr>
        <w:widowControl/>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五、保障措施</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第八章  出口鼓励与出口管制措施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出口鼓励措施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一、财政政策措施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二、信贷政策措施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三、出口信用保险措施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四、倾销政策措施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五、资本政策措施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六、特区政策措施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七、产业政策措施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八、行政组织措施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九、其他措施</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主要出口鼓励措施的经济效应分析</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一、出口补贴的经济效应分析</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二、商品倾销的经济效应分析</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出口管制措施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一、出口管制的目的</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二、出口管制的对象</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三、出口管制的形式</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四、出口管制的程序</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五、出口管制的措施</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第九章  世界贸易组织</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关税与贸易总协定</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一、关税与贸易总协定的产生</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二、关贸总协定的历次多边贸易谈判</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三、关贸总协定的作用</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四、关贸总协定的局限性</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世界贸易组织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一、世界贸易组织的产生</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二、世界贸易组织的宗旨、目标和职能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三、世界贸易组织的原则</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四、世界贸易组织的组织机构及其职能</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五、世界贸易组织与GATT的区别</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中国与世界贸易组织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一、中国与关税贸易总协定</w:t>
      </w:r>
    </w:p>
    <w:p>
      <w:pPr>
        <w:adjustRightInd w:val="0"/>
        <w:snapToGrid w:val="0"/>
        <w:ind w:firstLine="840" w:firstLineChars="400"/>
        <w:rPr>
          <w:rFonts w:hint="eastAsia" w:ascii="楷体_GB2312" w:hAnsi="宋体" w:eastAsia="楷体_GB2312" w:cs="宋体"/>
          <w:bCs/>
          <w:color w:val="000000"/>
          <w:kern w:val="0"/>
          <w:szCs w:val="21"/>
        </w:rPr>
      </w:pPr>
      <w:r>
        <w:rPr>
          <w:rFonts w:hint="eastAsia" w:ascii="楷体_GB2312" w:hAnsi="宋体" w:eastAsia="楷体_GB2312" w:cs="宋体"/>
          <w:bCs/>
          <w:color w:val="000000"/>
          <w:kern w:val="0"/>
          <w:szCs w:val="21"/>
        </w:rPr>
        <w:t>二、中国与世界贸易组织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三、中国加入世贸组织后的权利和义务</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第十章  区域经济一体化</w:t>
      </w:r>
    </w:p>
    <w:p>
      <w:pPr>
        <w:pStyle w:val="5"/>
        <w:adjustRightInd w:val="0"/>
        <w:snapToGrid w:val="0"/>
        <w:spacing w:before="0" w:beforeAutospacing="0" w:after="0" w:afterAutospacing="0"/>
        <w:ind w:firstLine="420" w:firstLineChars="200"/>
        <w:rPr>
          <w:rFonts w:hint="eastAsia" w:ascii="楷体_GB2312" w:eastAsia="楷体_GB2312"/>
          <w:bCs/>
          <w:color w:val="000000"/>
          <w:sz w:val="21"/>
          <w:szCs w:val="21"/>
        </w:rPr>
      </w:pPr>
      <w:r>
        <w:rPr>
          <w:rFonts w:hint="eastAsia" w:ascii="楷体_GB2312" w:eastAsia="楷体_GB2312"/>
          <w:bCs/>
          <w:color w:val="000000"/>
          <w:sz w:val="21"/>
          <w:szCs w:val="21"/>
        </w:rPr>
        <w:t>第一节  区域经济一体化概述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一、区域经济一体化的概念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二、区域经济一体化的类型</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三、区域经济一体化的兴起</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四、区域经济一体化的影响和作用</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关税同盟理论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一、关税同盟的静态效应</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二、关税同盟的动态效应</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区域经济一体化的其他理论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一、大市场理论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二、协议性国际分工理论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三、综合发展战略理论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四、相互依赖理论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五、工业偏好理论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 xml:space="preserve">第四节  区域经济一体化的实践 </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一、发达国家之间的区域经济一体化组织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二、发展中国家之间的区域经济一体化组织</w:t>
      </w:r>
    </w:p>
    <w:p>
      <w:pPr>
        <w:adjustRightInd w:val="0"/>
        <w:snapToGrid w:val="0"/>
        <w:ind w:firstLine="840" w:firstLineChars="400"/>
        <w:rPr>
          <w:rFonts w:hint="eastAsia" w:ascii="楷体_GB2312" w:hAnsi="宋体" w:eastAsia="楷体_GB2312"/>
          <w:bCs/>
          <w:color w:val="000000"/>
          <w:kern w:val="0"/>
          <w:szCs w:val="21"/>
        </w:rPr>
      </w:pPr>
      <w:r>
        <w:rPr>
          <w:rFonts w:hint="eastAsia" w:ascii="楷体_GB2312" w:hAnsi="宋体" w:eastAsia="楷体_GB2312"/>
          <w:bCs/>
          <w:color w:val="000000"/>
          <w:kern w:val="0"/>
          <w:szCs w:val="21"/>
        </w:rPr>
        <w:t>三、发达国家与发展中国家之间的区域经济一体化组织</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四、经济一体化的新模式：开放的区域经济一体化</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第十一章  国际资本流动、跨国公司与国际贸易</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国际资本流动概述</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一、国际资本流动的定义、原因和类型</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二、国际资本流动的格局</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三、国际资本流动的原理及效应分析</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国际直接投资与国际贸易的关系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一、国际资本流动与贸易的替代关系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二、国际资本流动与贸易的互补关系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三、《与贸易有关的投资措施协议》</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 xml:space="preserve">第三节  跨国公司与国际贸易 </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一、跨国公司定义、类型和特征</w:t>
      </w:r>
    </w:p>
    <w:p>
      <w:pPr>
        <w:adjustRightInd w:val="0"/>
        <w:snapToGrid w:val="0"/>
        <w:ind w:firstLine="840" w:firstLineChars="400"/>
        <w:rPr>
          <w:rFonts w:hint="eastAsia" w:ascii="楷体_GB2312" w:eastAsia="楷体_GB2312"/>
          <w:szCs w:val="21"/>
        </w:rPr>
      </w:pPr>
      <w:r>
        <w:rPr>
          <w:rFonts w:hint="eastAsia" w:ascii="楷体_GB2312" w:eastAsia="楷体_GB2312"/>
          <w:szCs w:val="21"/>
        </w:rPr>
        <w:t>二、跨国公司内部贸易与转移价格</w:t>
      </w:r>
    </w:p>
    <w:p>
      <w:pPr>
        <w:adjustRightInd w:val="0"/>
        <w:snapToGrid w:val="0"/>
        <w:ind w:firstLine="840" w:firstLineChars="400"/>
        <w:rPr>
          <w:rFonts w:hint="eastAsia" w:ascii="楷体_GB2312" w:hAnsi="宋体" w:eastAsia="楷体_GB2312"/>
          <w:color w:val="000000"/>
          <w:szCs w:val="21"/>
        </w:rPr>
      </w:pPr>
      <w:r>
        <w:rPr>
          <w:rFonts w:hint="eastAsia" w:ascii="楷体_GB2312" w:hAnsi="宋体" w:eastAsia="楷体_GB2312"/>
          <w:color w:val="000000"/>
          <w:szCs w:val="21"/>
        </w:rPr>
        <w:t>三、跨国公司国际直接投资理论</w:t>
      </w:r>
    </w:p>
    <w:p>
      <w:pPr>
        <w:adjustRightInd w:val="0"/>
        <w:snapToGrid w:val="0"/>
        <w:rPr>
          <w:rFonts w:hint="eastAsia" w:ascii="楷体_GB2312" w:hAnsi="宋体" w:eastAsia="楷体_GB2312"/>
          <w:bCs/>
          <w:color w:val="000000"/>
          <w:szCs w:val="21"/>
        </w:rPr>
      </w:pPr>
      <w:r>
        <w:rPr>
          <w:rFonts w:hint="eastAsia" w:ascii="楷体_GB2312" w:hAnsi="宋体" w:eastAsia="楷体_GB2312"/>
          <w:bCs/>
          <w:color w:val="000000"/>
          <w:szCs w:val="21"/>
        </w:rPr>
        <w:t>第十二章  国际服务贸易</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第一节  国际服务贸易的产生与发展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一、国际服务贸易的产生和发展</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二、现代国际服务贸易发展的特点和原因</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第二节 国际服务贸易内涵、分类与统计</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一、国际服务贸易的内涵</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二、国际服务贸易的分类</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三、国际服务贸易的统计方法</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第三节  国际服务贸易理论</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一、国际服务贸易理论研究的兴起及研究特点</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二、国际服务贸易理论对传统贸易理论的修正</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三、服务贸易自由化理论</w:t>
      </w:r>
    </w:p>
    <w:p>
      <w:pPr>
        <w:adjustRightInd w:val="0"/>
        <w:snapToGrid w:val="0"/>
        <w:ind w:firstLine="420" w:firstLineChars="200"/>
        <w:rPr>
          <w:rFonts w:hint="eastAsia" w:ascii="楷体_GB2312" w:hAnsi="宋体" w:eastAsia="楷体_GB2312"/>
          <w:bCs/>
          <w:color w:val="000000"/>
          <w:szCs w:val="21"/>
        </w:rPr>
      </w:pPr>
      <w:r>
        <w:rPr>
          <w:rFonts w:hint="eastAsia" w:ascii="楷体_GB2312" w:hAnsi="宋体" w:eastAsia="楷体_GB2312"/>
          <w:bCs/>
          <w:color w:val="000000"/>
          <w:szCs w:val="21"/>
        </w:rPr>
        <w:t>第四节  《服务贸易总协定》</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一、服务贸易总协定的签署</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二、《服务贸易总协定》的框架结构</w:t>
      </w:r>
    </w:p>
    <w:p>
      <w:pPr>
        <w:adjustRightInd w:val="0"/>
        <w:snapToGrid w:val="0"/>
        <w:ind w:firstLine="840" w:firstLineChars="400"/>
        <w:rPr>
          <w:rFonts w:hint="eastAsia" w:ascii="楷体_GB2312" w:hAnsi="宋体" w:eastAsia="楷体_GB2312"/>
          <w:bCs/>
          <w:color w:val="000000"/>
          <w:szCs w:val="21"/>
        </w:rPr>
      </w:pPr>
      <w:r>
        <w:rPr>
          <w:rFonts w:hint="eastAsia" w:ascii="楷体_GB2312" w:hAnsi="宋体" w:eastAsia="楷体_GB2312"/>
          <w:bCs/>
          <w:color w:val="000000"/>
          <w:szCs w:val="21"/>
        </w:rPr>
        <w:t>三、《服务贸易总协定》的作用</w:t>
      </w:r>
    </w:p>
    <w:p>
      <w:pPr>
        <w:ind w:firstLine="470" w:firstLineChars="147"/>
        <w:jc w:val="center"/>
        <w:rPr>
          <w:rFonts w:hint="eastAsia" w:ascii="黑体" w:eastAsia="黑体"/>
          <w:sz w:val="32"/>
          <w:szCs w:val="32"/>
        </w:rPr>
      </w:pPr>
      <w:r>
        <w:rPr>
          <w:rFonts w:hint="eastAsia" w:ascii="黑体" w:eastAsia="黑体"/>
          <w:sz w:val="32"/>
          <w:szCs w:val="32"/>
        </w:rPr>
        <w:t>四、参考书目</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1、《国际贸易学》，王秋红、陈开军、耿小娟主编，清华大学出版社，2019年12月第3版</w:t>
      </w:r>
    </w:p>
    <w:p>
      <w:pPr>
        <w:ind w:firstLine="420" w:firstLineChars="20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2、《国际贸易学：理论、政策与实证》，余淼杰编，北京大学出版社，202</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月第</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版</w:t>
      </w:r>
    </w:p>
    <w:p>
      <w:pPr>
        <w:autoSpaceDE w:val="0"/>
        <w:adjustRightInd w:val="0"/>
        <w:snapToGrid w:val="0"/>
        <w:ind w:right="31" w:rightChars="15" w:firstLine="819" w:firstLineChars="390"/>
        <w:rPr>
          <w:rFonts w:ascii="仿宋_GB2312" w:hAnsi="宋体" w:eastAsia="仿宋_GB2312" w:cs="宋体"/>
          <w:color w:val="000000"/>
          <w:kern w:val="0"/>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F7FFAFFF" w:usb1="E9DFFFFF" w:usb2="0000003F" w:usb3="00000000" w:csb0="003F01FF" w:csb1="00000000"/>
  </w:font>
  <w:font w:name="ˎ̥">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49"/>
    <w:rsid w:val="000170F6"/>
    <w:rsid w:val="00027113"/>
    <w:rsid w:val="00084149"/>
    <w:rsid w:val="00087128"/>
    <w:rsid w:val="000A22F1"/>
    <w:rsid w:val="000C3498"/>
    <w:rsid w:val="001450C1"/>
    <w:rsid w:val="0015526C"/>
    <w:rsid w:val="00177FD6"/>
    <w:rsid w:val="001B366D"/>
    <w:rsid w:val="00234DC2"/>
    <w:rsid w:val="00257E9A"/>
    <w:rsid w:val="002813D0"/>
    <w:rsid w:val="002875B9"/>
    <w:rsid w:val="00331ED3"/>
    <w:rsid w:val="0036041E"/>
    <w:rsid w:val="00362F7C"/>
    <w:rsid w:val="003860D1"/>
    <w:rsid w:val="00405F3D"/>
    <w:rsid w:val="00455F2A"/>
    <w:rsid w:val="00463E05"/>
    <w:rsid w:val="004D2477"/>
    <w:rsid w:val="004D6575"/>
    <w:rsid w:val="004E55AF"/>
    <w:rsid w:val="00504400"/>
    <w:rsid w:val="005A7BDC"/>
    <w:rsid w:val="00600952"/>
    <w:rsid w:val="00623AAE"/>
    <w:rsid w:val="00630C37"/>
    <w:rsid w:val="00643F89"/>
    <w:rsid w:val="006468E2"/>
    <w:rsid w:val="00684032"/>
    <w:rsid w:val="006A3291"/>
    <w:rsid w:val="006B6789"/>
    <w:rsid w:val="006E6494"/>
    <w:rsid w:val="00702062"/>
    <w:rsid w:val="00751672"/>
    <w:rsid w:val="00781C04"/>
    <w:rsid w:val="00785BDB"/>
    <w:rsid w:val="007A27EB"/>
    <w:rsid w:val="007C5376"/>
    <w:rsid w:val="008763FB"/>
    <w:rsid w:val="009077E6"/>
    <w:rsid w:val="0091781F"/>
    <w:rsid w:val="00943107"/>
    <w:rsid w:val="009A000C"/>
    <w:rsid w:val="00A009FF"/>
    <w:rsid w:val="00A50802"/>
    <w:rsid w:val="00A7058F"/>
    <w:rsid w:val="00A82640"/>
    <w:rsid w:val="00AB6AAC"/>
    <w:rsid w:val="00B60618"/>
    <w:rsid w:val="00B64765"/>
    <w:rsid w:val="00B97453"/>
    <w:rsid w:val="00BA6410"/>
    <w:rsid w:val="00BB76AE"/>
    <w:rsid w:val="00BC7968"/>
    <w:rsid w:val="00C20450"/>
    <w:rsid w:val="00CE6E0B"/>
    <w:rsid w:val="00DF74E5"/>
    <w:rsid w:val="00E73C57"/>
    <w:rsid w:val="00EC7FCA"/>
    <w:rsid w:val="00F36F88"/>
    <w:rsid w:val="00F44260"/>
    <w:rsid w:val="00FF388E"/>
    <w:rsid w:val="031F5AD4"/>
    <w:rsid w:val="22AD5096"/>
    <w:rsid w:val="34CB61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paragraph" w:styleId="3">
    <w:name w:val="heading 4"/>
    <w:basedOn w:val="1"/>
    <w:qFormat/>
    <w:uiPriority w:val="0"/>
    <w:pPr>
      <w:widowControl/>
      <w:spacing w:before="100" w:beforeAutospacing="1" w:after="100" w:afterAutospacing="1"/>
      <w:jc w:val="left"/>
      <w:outlineLvl w:val="3"/>
    </w:pPr>
    <w:rPr>
      <w:rFonts w:ascii="Arial Unicode MS" w:hAnsi="Arial Unicode MS" w:eastAsia="Arial Unicode MS" w:cs="Arial Unicode MS"/>
      <w:b/>
      <w:bCs/>
      <w:kern w:val="0"/>
      <w:sz w:val="24"/>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4">
    <w:name w:val="Body Text Indent"/>
    <w:basedOn w:val="1"/>
    <w:uiPriority w:val="0"/>
    <w:pPr>
      <w:spacing w:line="360" w:lineRule="atLeast"/>
      <w:ind w:firstLine="435"/>
    </w:pPr>
  </w:style>
  <w:style w:type="paragraph" w:styleId="5">
    <w:name w:val="Plain Text"/>
    <w:basedOn w:val="1"/>
    <w:uiPriority w:val="0"/>
    <w:pPr>
      <w:widowControl/>
      <w:spacing w:before="100" w:beforeAutospacing="1" w:after="100" w:afterAutospacing="1"/>
      <w:jc w:val="left"/>
    </w:pPr>
    <w:rPr>
      <w:rFonts w:ascii="宋体" w:hAnsi="宋体" w:cs="宋体"/>
      <w:kern w:val="0"/>
      <w:sz w:val="24"/>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kern w:val="0"/>
      <w:sz w:val="24"/>
    </w:rPr>
  </w:style>
  <w:style w:type="character" w:styleId="11">
    <w:name w:val="Strong"/>
    <w:qFormat/>
    <w:uiPriority w:val="0"/>
    <w:rPr>
      <w:b/>
      <w:bCs/>
    </w:rPr>
  </w:style>
  <w:style w:type="paragraph" w:customStyle="1" w:styleId="12">
    <w:name w:val="page_body"/>
    <w:basedOn w:val="1"/>
    <w:uiPriority w:val="0"/>
    <w:pPr>
      <w:widowControl/>
      <w:spacing w:before="100" w:beforeAutospacing="1" w:after="100" w:afterAutospacing="1" w:line="280" w:lineRule="atLeast"/>
      <w:jc w:val="left"/>
    </w:pPr>
    <w:rPr>
      <w:rFonts w:ascii="ˎ̥" w:hAnsi="ˎ̥" w:cs="宋体"/>
      <w:color w:val="000000"/>
      <w:kern w:val="0"/>
      <w:sz w:val="18"/>
      <w:szCs w:val="18"/>
    </w:rPr>
  </w:style>
  <w:style w:type="character" w:customStyle="1" w:styleId="13">
    <w:name w:val="page_body1"/>
    <w:uiPriority w:val="0"/>
    <w:rPr>
      <w:rFonts w:hint="default" w:ascii="_x000B__x000C_" w:hAnsi="_x000B__x000C_"/>
      <w:color w:val="000000"/>
      <w:sz w:val="18"/>
      <w:szCs w:val="18"/>
    </w:rPr>
  </w:style>
  <w:style w:type="character" w:customStyle="1" w:styleId="14">
    <w:name w:val="style21"/>
    <w:uiPriority w:val="0"/>
    <w:rPr>
      <w:sz w:val="14"/>
      <w:szCs w:val="14"/>
    </w:rPr>
  </w:style>
  <w:style w:type="character" w:customStyle="1" w:styleId="15">
    <w:name w:val="navi1"/>
    <w:uiPriority w:val="0"/>
    <w:rPr>
      <w:rFonts w:hint="default" w:ascii="ˎ̥" w:hAnsi="ˎ̥"/>
      <w:sz w:val="18"/>
      <w:szCs w:val="18"/>
      <w:u w:val="none"/>
    </w:rPr>
  </w:style>
  <w:style w:type="paragraph" w:customStyle="1" w:styleId="16">
    <w:name w:val="style3"/>
    <w:basedOn w:val="1"/>
    <w:uiPriority w:val="0"/>
    <w:pPr>
      <w:widowControl/>
      <w:spacing w:before="100" w:beforeAutospacing="1" w:after="100" w:afterAutospacing="1"/>
      <w:jc w:val="left"/>
    </w:pPr>
    <w:rPr>
      <w:rFonts w:ascii="宋体" w:hAnsi="宋体" w:cs="宋体"/>
      <w:color w:val="000000"/>
      <w:kern w:val="0"/>
      <w:szCs w:val="21"/>
    </w:rPr>
  </w:style>
  <w:style w:type="character" w:customStyle="1" w:styleId="17">
    <w:name w:val="11"/>
    <w:uiPriority w:val="0"/>
  </w:style>
  <w:style w:type="paragraph" w:customStyle="1" w:styleId="18">
    <w:name w:val="MTDisplayEquation"/>
    <w:basedOn w:val="1"/>
    <w:next w:val="1"/>
    <w:uiPriority w:val="0"/>
    <w:pPr>
      <w:tabs>
        <w:tab w:val="center" w:pos="4160"/>
        <w:tab w:val="right" w:pos="8300"/>
      </w:tabs>
    </w:pPr>
    <w:rPr>
      <w:sz w:val="28"/>
    </w:rPr>
  </w:style>
  <w:style w:type="paragraph" w:customStyle="1" w:styleId="19">
    <w:name w:val="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580</Words>
  <Characters>3311</Characters>
  <Lines>27</Lines>
  <Paragraphs>7</Paragraphs>
  <TotalTime>0</TotalTime>
  <ScaleCrop>false</ScaleCrop>
  <LinksUpToDate>false</LinksUpToDate>
  <CharactersWithSpaces>3884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2011-06-12T06:48:00Z</dcterms:created>
  <dc:creator>wangqh</dc:creator>
  <cp:lastModifiedBy>vertesyuan</cp:lastModifiedBy>
  <cp:lastPrinted>2013-07-15T02:17:00Z</cp:lastPrinted>
  <dcterms:modified xsi:type="dcterms:W3CDTF">2022-09-08T07:08:33Z</dcterms:modified>
  <dc:title>《国际贸易》科目大纲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E734BFA56302410CA4D9207845D67B1F</vt:lpwstr>
  </property>
</Properties>
</file>