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2"/>
          <w:szCs w:val="30"/>
        </w:rPr>
      </w:pPr>
      <w:bookmarkStart w:id="0" w:name="_GoBack"/>
      <w:bookmarkEnd w:id="0"/>
      <w:r>
        <w:rPr>
          <w:rFonts w:hint="eastAsia" w:ascii="黑体" w:eastAsia="黑体"/>
          <w:sz w:val="32"/>
          <w:szCs w:val="30"/>
        </w:rPr>
        <w:t>硕士研究生入学考试大纲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黑体" w:eastAsia="黑体"/>
          <w:sz w:val="28"/>
          <w:szCs w:val="30"/>
        </w:rPr>
        <w:t>考试科目名称：财务管理学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一、考试大纲援引教材</w:t>
      </w:r>
    </w:p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>《财务管理》第3版 清华大学出版社 姚海鑫 2019年</w:t>
      </w:r>
    </w:p>
    <w:p>
      <w:pPr>
        <w:spacing w:line="340" w:lineRule="exact"/>
        <w:rPr>
          <w:rFonts w:hint="eastAsia"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二、考试要求</w:t>
      </w:r>
    </w:p>
    <w:p>
      <w:pPr>
        <w:pStyle w:val="2"/>
        <w:spacing w:line="340" w:lineRule="exact"/>
        <w:rPr>
          <w:rFonts w:hint="eastAsia"/>
        </w:rPr>
      </w:pPr>
      <w:r>
        <w:rPr>
          <w:rFonts w:hint="eastAsia"/>
        </w:rPr>
        <w:t xml:space="preserve"> 要求学生全面系统地掌握财务管理的基本概念和基本原理，并能够对基本原理进行灵活运用，具有较强的分析问题、解决问题的能力。</w:t>
      </w:r>
    </w:p>
    <w:p>
      <w:pPr>
        <w:spacing w:line="340" w:lineRule="exact"/>
        <w:rPr>
          <w:rFonts w:hint="eastAsia"/>
          <w:b/>
          <w:bCs/>
          <w:sz w:val="28"/>
          <w:szCs w:val="28"/>
        </w:rPr>
      </w:pPr>
      <w:r>
        <w:rPr>
          <w:rFonts w:hint="eastAsia" w:eastAsia="黑体"/>
          <w:sz w:val="24"/>
          <w:szCs w:val="28"/>
        </w:rPr>
        <w:t>三、考试内容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第一章财务管理导论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第一节财务管理概述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第二节企业组织形式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第三节财务管理目标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第四节金融市场及其作用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第五节财务管理环境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第六节财务管理基本价值观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第二章财务报表与分析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第一节资产负债表</w:t>
      </w:r>
    </w:p>
    <w:p>
      <w:pPr>
        <w:pStyle w:val="2"/>
        <w:spacing w:line="340" w:lineRule="exact"/>
        <w:ind w:firstLine="0" w:firstLineChars="0"/>
      </w:pPr>
      <w:r>
        <w:t>第二节利润表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第三节现金流量表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第四节所有者权益变动表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第五节财务报表分析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第三章货币时间价值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第一节货币时间价值概述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第二节年金现值与终值的计算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第四章风险和收益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第一节单项资产的风险与收益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第二节投资组合理论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第三节资本资产定价模型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第五章证券估价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第一节债券估价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第二节股票估价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第六章长期融资概述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第一节企业融资的动机与原则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第二节企业融资的方式与融资渠道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第三节融资模式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第四节资金需要量的预测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第七章长期负债与融资租赁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第一节长期负债融资概述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第二节长期借款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第三节长期债券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第四节融资租赁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第八章普通股与优先股融资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第一节权益融资概述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第二节普通股融资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第三节优先股融资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第九章认股权证与可转换债券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第一节认股权证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第二节可转换债券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第十章资本成本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第一节资本成本的概念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第二节资本成本的计算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第三节边际资本成本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第十一章资本结构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第一节资本结构及其基本问题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第二节资本结构理论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第三节资本结构的影响因素及最佳资本结构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第四节杠杆理论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第十二章股利政策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第一节股利种类与股利发放程序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第二节影响股利政策的因素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第三节股利政策理论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第四节股利政策的类型</w:t>
      </w:r>
      <w:r>
        <w:br w:type="textWrapping"/>
      </w:r>
      <w:r>
        <w:t>第五节股票分割与回购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第六节股利政策实践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第十三章现金流量与资本预算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第一节资本预算决策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第二节投资决策中的现金流量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第三节现金流量的计算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第十四章投资决策的方法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第一节净现值（npv）法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第二节投资回收期法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第三节内部收益率（irr）法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第四节会计平均收益率（aar）法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第五节获利指数（pi）法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第六节资本预算实践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第十五章不确定条件下的投资决策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第一节不同周期项目的投资决策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第二节敏感性分析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第三节盈亏平衡分析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第四节通货膨胀与投资决策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第五节不确定性投资决策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第十六章营运资本与现金管理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第一节营运资本管理概述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第二节营运资本管理策略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第三节现金管理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第十七章存货与应收账款管理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第一节存货及其成本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第二节存货管理方法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第三节应收账款管理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第十八章短期财务计划与短期融资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第一节短期财务计划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第二节现金预算与短期融资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第十九章公司价值评估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第一节公司价值评估概述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第二节公司价值评估的主要方法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第三节公司价值评估影响因素及应用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第二十章企业并购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第一节企业并购概述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第二节企业并购的估价</w:t>
      </w:r>
    </w:p>
    <w:p>
      <w:pPr>
        <w:pStyle w:val="2"/>
        <w:spacing w:line="340" w:lineRule="exact"/>
        <w:ind w:firstLine="0" w:firstLineChars="0"/>
        <w:rPr>
          <w:rFonts w:hint="eastAsia"/>
        </w:rPr>
      </w:pPr>
      <w:r>
        <w:t>第三节企业并购的支付方式选择</w:t>
      </w:r>
    </w:p>
    <w:p>
      <w:pPr>
        <w:pStyle w:val="2"/>
        <w:spacing w:line="340" w:lineRule="exact"/>
        <w:rPr>
          <w:rFonts w:hint="eastAsia"/>
        </w:rPr>
      </w:pPr>
    </w:p>
    <w:p>
      <w:pPr>
        <w:ind w:firstLine="420" w:firstLineChars="20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5D25"/>
    <w:rsid w:val="003D2641"/>
    <w:rsid w:val="0041503A"/>
    <w:rsid w:val="004A4000"/>
    <w:rsid w:val="005B13D3"/>
    <w:rsid w:val="00631789"/>
    <w:rsid w:val="006D5F3A"/>
    <w:rsid w:val="00A1162F"/>
    <w:rsid w:val="00D054F8"/>
    <w:rsid w:val="00DE146B"/>
    <w:rsid w:val="00E76CC1"/>
    <w:rsid w:val="579D5DDA"/>
    <w:rsid w:val="6F1B6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1007</Characters>
  <Lines>8</Lines>
  <Paragraphs>2</Paragraphs>
  <TotalTime>0</TotalTime>
  <ScaleCrop>false</ScaleCrop>
  <LinksUpToDate>false</LinksUpToDate>
  <CharactersWithSpaces>1181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2006-07-09T00:58:00Z</dcterms:created>
  <dc:creator>your name</dc:creator>
  <cp:lastModifiedBy>vertesyuan</cp:lastModifiedBy>
  <cp:lastPrinted>1970-01-01T00:00:00Z</cp:lastPrinted>
  <dcterms:modified xsi:type="dcterms:W3CDTF">2022-09-16T04:51:56Z</dcterms:modified>
  <dc:title>财务管理学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45128881172C488A8BC4BF221FBD95CA</vt:lpwstr>
  </property>
</Properties>
</file>