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0" w:lineRule="exact"/>
        <w:ind w:firstLine="435"/>
        <w:rPr>
          <w:rFonts w:hint="eastAsia" w:ascii="宋体" w:hAnsi="宋体"/>
          <w:szCs w:val="21"/>
        </w:rPr>
      </w:pPr>
      <w:bookmarkStart w:id="1" w:name="_GoBack"/>
      <w:bookmarkEnd w:id="1"/>
    </w:p>
    <w:p>
      <w:pPr>
        <w:spacing w:line="500" w:lineRule="exact"/>
        <w:jc w:val="center"/>
        <w:rPr>
          <w:b/>
          <w:bCs/>
          <w:sz w:val="28"/>
          <w:szCs w:val="20"/>
        </w:rPr>
      </w:pPr>
      <w:r>
        <w:rPr>
          <w:rFonts w:hint="eastAsia"/>
          <w:b/>
          <w:bCs/>
          <w:sz w:val="28"/>
        </w:rPr>
        <w:t>杭州电子科技大学</w:t>
      </w:r>
      <w:r>
        <w:rPr>
          <w:b/>
          <w:bCs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/>
          <w:b/>
          <w:bCs/>
          <w:sz w:val="28"/>
        </w:rPr>
        <w:t>硕士研究生复试同等学力加试科目考试大纲</w:t>
      </w:r>
    </w:p>
    <w:p>
      <w:pPr>
        <w:spacing w:line="500" w:lineRule="exact"/>
        <w:rPr>
          <w:b/>
          <w:bCs/>
          <w:u w:val="single"/>
        </w:rPr>
      </w:pPr>
      <w:r>
        <w:rPr>
          <w:rFonts w:hint="eastAsia"/>
          <w:b/>
          <w:bCs/>
          <w:sz w:val="28"/>
          <w:u w:val="single"/>
        </w:rPr>
        <w:t>学院：会计学院</w:t>
      </w:r>
      <w:r>
        <w:rPr>
          <w:b/>
          <w:bCs/>
          <w:sz w:val="28"/>
          <w:u w:val="single"/>
        </w:rPr>
        <w:t xml:space="preserve">                   </w:t>
      </w:r>
      <w:r>
        <w:rPr>
          <w:rFonts w:hint="eastAsia"/>
          <w:b/>
          <w:bCs/>
          <w:sz w:val="28"/>
          <w:u w:val="single"/>
        </w:rPr>
        <w:t>加试科目：审计学</w:t>
      </w:r>
      <w:r>
        <w:rPr>
          <w:b/>
          <w:bCs/>
          <w:sz w:val="28"/>
          <w:u w:val="single"/>
        </w:rPr>
        <w:t xml:space="preserve">   </w:t>
      </w:r>
    </w:p>
    <w:p>
      <w:pPr>
        <w:spacing w:line="260" w:lineRule="exact"/>
        <w:ind w:firstLine="435"/>
        <w:rPr>
          <w:rFonts w:hint="eastAsia" w:ascii="宋体" w:hAnsi="宋体"/>
          <w:szCs w:val="21"/>
        </w:rPr>
      </w:pPr>
    </w:p>
    <w:p>
      <w:pPr>
        <w:spacing w:line="276" w:lineRule="auto"/>
        <w:rPr>
          <w:rFonts w:ascii="宋体" w:hAnsi="宋体"/>
          <w:szCs w:val="21"/>
        </w:rPr>
      </w:pPr>
      <w:bookmarkStart w:id="0" w:name="_GoBack"/>
      <w:bookmarkEnd w:id="0"/>
      <w:r>
        <w:rPr>
          <w:rFonts w:hint="eastAsia" w:ascii="宋体" w:hAnsi="宋体"/>
          <w:szCs w:val="21"/>
        </w:rPr>
        <w:t xml:space="preserve">一、审计概述 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主要内容：审计的性质、审计要素、审计目标、审计基本要求、审计风险及审计过程。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二、审计计划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主要内容：初步业务活动、总体审计策略和具体审计计划、审计重要性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三、审计证据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主要内容：审计证据的性质、审计程序、函证及分析程序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四、审计抽样方法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主要内容：审计抽样的基本概念，审计抽样的基本原理和步骤，审计抽样在控制测试中的应用，审计抽样在细节测试中的运用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五、信息技术对审计的影响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主要内容：信息技术对内部控制的影响、评估信息技术的风险、信息技术中的一般控制和应用控制测试，信息技术对审计过程的影响，计算机在审计技术中的应用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六、审计工作底稿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主要内容：审计工作底稿概述，审计工作底稿的格式、要素和范围，审计工作底稿的归档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七、风险评估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主要内容：审计风险准则概述，风险评估程序、信息来源及项目组内部讨论，了解被审计单位及其环境，了解被审计单位的内部控制，评估重大错报风险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八、风险应对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主要内容：针对财务报表层次重大错报风险的总体应对措施，针对认定层次的重大错报风险的进一步审计程序，控制测试，实质性程序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九、销售与收款循环审计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主要内容：销售与收款循环的特点，销售与收款循环的内部控制和控制测试，销售与收款循环的实质性程序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十、采购与付款循环审计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主要内容：采购与付款循环的特点，采购与付款循环的内部控制和控制测试，采购与付款循环的实质性程序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十一、 生产与存货循环审计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主要内容：生产与存货循环的特点，生产与存货循环的内部控制和控制测试，生产与存货循环的实质性程序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十二、 货币资金的审计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主要内容：货币资金的审计概述，库存现金审计，银行存款审计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十三、 对舞弊与法律法规的考虑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主要内容：财务报表审计中与舞弊相关的责任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十四、 其他特殊项目的审计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主要内容：审计会计估计，关联方的审计，考虑持续经营假设，首次接受委托时对期初余额的审计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十五、 完成审计工作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主要内容：完成审计工作概述，期后事项，书面申明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十六、 审计报告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主要内容：审计报告概述，审计意见的形成和审计报告的类型，审计报告的基本内容，非标准审计报告，比较信息，含有已审计财务报表的文件中的其他信息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十七、 企业内部控制审计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主要内容： 内部控制审计概念、计划审计工作、至上而下的方法、测试控制的有效性、企业层面控制的测试、业务流程、应用系统或交易层面的控制的测试，信息系统控制的测试、内部控制缺陷评价，出具内部审计报告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十八、：会计师事务所业务质量控制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主要内容：质量控制制度的目标和对业务质量承担的领导责任，相关职业道德，客户关系和具体业务的接受与保持，人力资源，业务执行，监控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十九、 职业道德基本原则和概念框架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主要内容：职业道德基本原则和概念框架，职业道德基本原则、概念框架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二十、 审计业务对独立性的要求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主要内容：基本要求，经济利益，贷款和担保以及商业关系、家庭和私人关系，与审计客户发生雇佣关系，与审计客户长期限存在业务关系，为审计客户提供非鉴证服务，收费，影响独立性的其他事项</w:t>
      </w:r>
    </w:p>
    <w:p>
      <w:pPr>
        <w:spacing w:line="276" w:lineRule="auto"/>
        <w:rPr>
          <w:rFonts w:hint="eastAsia" w:ascii="宋体" w:hAnsi="宋体"/>
          <w:szCs w:val="21"/>
        </w:rPr>
      </w:pPr>
    </w:p>
    <w:p>
      <w:pPr>
        <w:spacing w:line="276" w:lineRule="auto"/>
        <w:ind w:firstLine="211" w:firstLineChars="100"/>
        <w:rPr>
          <w:rFonts w:hint="eastAsia"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参考书目：</w:t>
      </w:r>
    </w:p>
    <w:p>
      <w:pPr>
        <w:spacing w:line="276" w:lineRule="auto"/>
        <w:ind w:left="638"/>
        <w:rPr>
          <w:rFonts w:hint="eastAsia"/>
          <w:sz w:val="24"/>
        </w:rPr>
      </w:pPr>
      <w:r>
        <w:rPr>
          <w:sz w:val="24"/>
        </w:rPr>
        <w:t>2019年注册会计师全国统一考试辅导教材:</w:t>
      </w:r>
      <w:r>
        <w:rPr>
          <w:rFonts w:hint="eastAsia"/>
          <w:sz w:val="24"/>
        </w:rPr>
        <w:t>《</w:t>
      </w:r>
      <w:r>
        <w:rPr>
          <w:sz w:val="24"/>
        </w:rPr>
        <w:t>审计</w:t>
      </w:r>
      <w:r>
        <w:rPr>
          <w:rFonts w:hint="eastAsia"/>
          <w:sz w:val="24"/>
        </w:rPr>
        <w:t>》</w:t>
      </w:r>
    </w:p>
    <w:p>
      <w:pPr>
        <w:spacing w:line="276" w:lineRule="auto"/>
        <w:ind w:left="638"/>
        <w:rPr>
          <w:sz w:val="24"/>
        </w:rPr>
      </w:pPr>
      <w:r>
        <w:rPr>
          <w:sz w:val="24"/>
        </w:rPr>
        <w:t>出版社： 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 xml:space="preserve">HYPERLINK "https://book.jd.com/publish/%E4%B8%AD%E5%9B%BD%E8%B4%A2%E6%94%BF%E7%BB%8F%E6%B5%8E%E5%87%BA%E7%89%88%E7%A4%BE_1.html" \o "中国财政经济出版社" \t "_blank"</w:instrText>
      </w:r>
      <w:r>
        <w:rPr>
          <w:sz w:val="24"/>
        </w:rPr>
        <w:instrText xml:space="preserve"> </w:instrText>
      </w:r>
      <w:r>
        <w:rPr>
          <w:sz w:val="24"/>
        </w:rPr>
        <w:fldChar w:fldCharType="separate"/>
      </w:r>
      <w:r>
        <w:rPr>
          <w:sz w:val="24"/>
        </w:rPr>
        <w:t>中国财政经济出版社</w:t>
      </w:r>
      <w:r>
        <w:rPr>
          <w:sz w:val="24"/>
        </w:rPr>
        <w:fldChar w:fldCharType="end"/>
      </w:r>
    </w:p>
    <w:p>
      <w:pPr>
        <w:spacing w:line="276" w:lineRule="auto"/>
        <w:ind w:left="638"/>
        <w:rPr>
          <w:sz w:val="24"/>
        </w:rPr>
      </w:pPr>
      <w:r>
        <w:rPr>
          <w:sz w:val="24"/>
        </w:rPr>
        <w:t>ISBN：9787509588932</w:t>
      </w:r>
    </w:p>
    <w:p>
      <w:pPr>
        <w:spacing w:line="276" w:lineRule="auto"/>
        <w:ind w:firstLine="211" w:firstLineChars="100"/>
        <w:rPr>
          <w:rFonts w:hint="eastAsia"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补充说明：</w:t>
      </w:r>
    </w:p>
    <w:p>
      <w:pPr>
        <w:spacing w:line="276" w:lineRule="auto"/>
        <w:ind w:firstLine="210" w:firstLineChars="1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color w:val="000000"/>
          <w:szCs w:val="21"/>
        </w:rPr>
        <w:t>涉及到审计实务的内容，以新颁布及修订的《企业会计准则》为准。</w:t>
      </w:r>
    </w:p>
    <w:sectPr>
      <w:footerReference r:id="rId3" w:type="default"/>
      <w:footerReference r:id="rId4" w:type="even"/>
      <w:pgSz w:w="10433" w:h="14742"/>
      <w:pgMar w:top="567" w:right="851" w:bottom="737" w:left="1620" w:header="851" w:footer="992" w:gutter="0"/>
      <w:pgNumType w:start="1" w:chapStyle="1" w:chapSep="e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hint="eastAsia"/>
        <w:kern w:val="0"/>
        <w:szCs w:val="21"/>
      </w:rPr>
      <w:t>第</w:t>
    </w:r>
    <w:r>
      <w:rPr>
        <w:rStyle w:val="12"/>
      </w:rPr>
      <w:fldChar w:fldCharType="begin"/>
    </w:r>
    <w:r>
      <w:rPr>
        <w:rStyle w:val="12"/>
      </w:rPr>
      <w:instrText xml:space="preserve"> PAGE </w:instrText>
    </w:r>
    <w:r>
      <w:rPr>
        <w:rStyle w:val="12"/>
      </w:rPr>
      <w:fldChar w:fldCharType="separate"/>
    </w:r>
    <w:r>
      <w:rPr>
        <w:rStyle w:val="12"/>
        <w:lang/>
      </w:rPr>
      <w:t>1</w:t>
    </w:r>
    <w:r>
      <w:rPr>
        <w:rStyle w:val="12"/>
      </w:rPr>
      <w:fldChar w:fldCharType="end"/>
    </w:r>
    <w:r>
      <w:rPr>
        <w:rFonts w:hint="eastAsia"/>
        <w:kern w:val="0"/>
        <w:szCs w:val="21"/>
      </w:rPr>
      <w:t>页 共</w:t>
    </w:r>
    <w:r>
      <w:rPr>
        <w:rStyle w:val="12"/>
      </w:rPr>
      <w:fldChar w:fldCharType="begin"/>
    </w:r>
    <w:r>
      <w:rPr>
        <w:rStyle w:val="12"/>
      </w:rPr>
      <w:instrText xml:space="preserve"> NUMPAGES </w:instrText>
    </w:r>
    <w:r>
      <w:rPr>
        <w:rStyle w:val="12"/>
      </w:rPr>
      <w:fldChar w:fldCharType="separate"/>
    </w:r>
    <w:r>
      <w:rPr>
        <w:rStyle w:val="12"/>
        <w:lang/>
      </w:rPr>
      <w:t>2</w:t>
    </w:r>
    <w:r>
      <w:rPr>
        <w:rStyle w:val="12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4A"/>
    <w:rsid w:val="000003E1"/>
    <w:rsid w:val="0002161A"/>
    <w:rsid w:val="0004009E"/>
    <w:rsid w:val="00063636"/>
    <w:rsid w:val="000728C5"/>
    <w:rsid w:val="00085A84"/>
    <w:rsid w:val="000C18FB"/>
    <w:rsid w:val="000D3CE0"/>
    <w:rsid w:val="001011F2"/>
    <w:rsid w:val="00117144"/>
    <w:rsid w:val="00120FDD"/>
    <w:rsid w:val="00135E8F"/>
    <w:rsid w:val="00137370"/>
    <w:rsid w:val="001417AD"/>
    <w:rsid w:val="001D7383"/>
    <w:rsid w:val="0022195F"/>
    <w:rsid w:val="00221989"/>
    <w:rsid w:val="00227BBD"/>
    <w:rsid w:val="0031467D"/>
    <w:rsid w:val="00352C1B"/>
    <w:rsid w:val="0036361A"/>
    <w:rsid w:val="00364BED"/>
    <w:rsid w:val="00373124"/>
    <w:rsid w:val="003A33D9"/>
    <w:rsid w:val="003C5491"/>
    <w:rsid w:val="003F332B"/>
    <w:rsid w:val="0040261D"/>
    <w:rsid w:val="00424A39"/>
    <w:rsid w:val="00477D87"/>
    <w:rsid w:val="004A1C9D"/>
    <w:rsid w:val="004A67FF"/>
    <w:rsid w:val="004C300A"/>
    <w:rsid w:val="004D7F94"/>
    <w:rsid w:val="00521109"/>
    <w:rsid w:val="0057285F"/>
    <w:rsid w:val="00575715"/>
    <w:rsid w:val="005A4D95"/>
    <w:rsid w:val="005E1187"/>
    <w:rsid w:val="006235BF"/>
    <w:rsid w:val="006764AA"/>
    <w:rsid w:val="006818A0"/>
    <w:rsid w:val="00683FD9"/>
    <w:rsid w:val="00683FE4"/>
    <w:rsid w:val="006B51A5"/>
    <w:rsid w:val="006C1CFB"/>
    <w:rsid w:val="006C2CDB"/>
    <w:rsid w:val="006E26AE"/>
    <w:rsid w:val="006E7452"/>
    <w:rsid w:val="00702EE2"/>
    <w:rsid w:val="0073784A"/>
    <w:rsid w:val="00743495"/>
    <w:rsid w:val="00793090"/>
    <w:rsid w:val="007A246B"/>
    <w:rsid w:val="007A2D84"/>
    <w:rsid w:val="007B313F"/>
    <w:rsid w:val="007D27AB"/>
    <w:rsid w:val="007E702C"/>
    <w:rsid w:val="007F663A"/>
    <w:rsid w:val="008150E1"/>
    <w:rsid w:val="008253CF"/>
    <w:rsid w:val="00842E94"/>
    <w:rsid w:val="00843F14"/>
    <w:rsid w:val="00854C3F"/>
    <w:rsid w:val="00867B1B"/>
    <w:rsid w:val="00872A20"/>
    <w:rsid w:val="0087623E"/>
    <w:rsid w:val="00910E07"/>
    <w:rsid w:val="00913950"/>
    <w:rsid w:val="0092163F"/>
    <w:rsid w:val="00921F3A"/>
    <w:rsid w:val="00952E24"/>
    <w:rsid w:val="00956039"/>
    <w:rsid w:val="00963558"/>
    <w:rsid w:val="00974699"/>
    <w:rsid w:val="009A1803"/>
    <w:rsid w:val="009A5159"/>
    <w:rsid w:val="009A671D"/>
    <w:rsid w:val="009C045E"/>
    <w:rsid w:val="009C1CC3"/>
    <w:rsid w:val="009E388C"/>
    <w:rsid w:val="009E424E"/>
    <w:rsid w:val="009F2636"/>
    <w:rsid w:val="00A2481F"/>
    <w:rsid w:val="00A6768D"/>
    <w:rsid w:val="00AA665F"/>
    <w:rsid w:val="00AB11F8"/>
    <w:rsid w:val="00AB5088"/>
    <w:rsid w:val="00AD0467"/>
    <w:rsid w:val="00B03E78"/>
    <w:rsid w:val="00B23755"/>
    <w:rsid w:val="00B56371"/>
    <w:rsid w:val="00B657F3"/>
    <w:rsid w:val="00B66AC4"/>
    <w:rsid w:val="00B76DA3"/>
    <w:rsid w:val="00B7784F"/>
    <w:rsid w:val="00BB1D10"/>
    <w:rsid w:val="00BC7126"/>
    <w:rsid w:val="00C23A92"/>
    <w:rsid w:val="00C41580"/>
    <w:rsid w:val="00C45BC3"/>
    <w:rsid w:val="00C45C26"/>
    <w:rsid w:val="00C46500"/>
    <w:rsid w:val="00C6005D"/>
    <w:rsid w:val="00C65214"/>
    <w:rsid w:val="00C748B1"/>
    <w:rsid w:val="00CA7F60"/>
    <w:rsid w:val="00CD1B04"/>
    <w:rsid w:val="00CD601A"/>
    <w:rsid w:val="00CF55CD"/>
    <w:rsid w:val="00D11376"/>
    <w:rsid w:val="00D215EB"/>
    <w:rsid w:val="00D27DB1"/>
    <w:rsid w:val="00D93B15"/>
    <w:rsid w:val="00DD1CFC"/>
    <w:rsid w:val="00DD7720"/>
    <w:rsid w:val="00DD7C34"/>
    <w:rsid w:val="00E04B93"/>
    <w:rsid w:val="00E22566"/>
    <w:rsid w:val="00E36469"/>
    <w:rsid w:val="00E41430"/>
    <w:rsid w:val="00E45684"/>
    <w:rsid w:val="00ED0886"/>
    <w:rsid w:val="00ED566B"/>
    <w:rsid w:val="00F03E5D"/>
    <w:rsid w:val="00F16302"/>
    <w:rsid w:val="00F33836"/>
    <w:rsid w:val="00F5394A"/>
    <w:rsid w:val="00F73E02"/>
    <w:rsid w:val="00F74109"/>
    <w:rsid w:val="00F76850"/>
    <w:rsid w:val="00F94FB5"/>
    <w:rsid w:val="00FA5E79"/>
    <w:rsid w:val="00FB55D2"/>
    <w:rsid w:val="00FB7D0A"/>
    <w:rsid w:val="00FC0E9A"/>
    <w:rsid w:val="00FD2DC2"/>
    <w:rsid w:val="00FD50BD"/>
    <w:rsid w:val="00FE2F31"/>
    <w:rsid w:val="00FF5221"/>
    <w:rsid w:val="00FF7A7F"/>
    <w:rsid w:val="1BC95350"/>
    <w:rsid w:val="5E1760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Body Text Indent"/>
    <w:basedOn w:val="1"/>
    <w:uiPriority w:val="0"/>
    <w:pPr>
      <w:spacing w:line="360" w:lineRule="exact"/>
      <w:ind w:firstLine="480"/>
    </w:pPr>
    <w:rPr>
      <w:sz w:val="24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iPriority w:val="0"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8">
    <w:name w:val="toc 2"/>
    <w:basedOn w:val="1"/>
    <w:next w:val="1"/>
    <w:uiPriority w:val="0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9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12">
    <w:name w:val="page number"/>
    <w:basedOn w:val="11"/>
    <w:uiPriority w:val="0"/>
  </w:style>
  <w:style w:type="character" w:styleId="13">
    <w:name w:val="Hyperlink"/>
    <w:uiPriority w:val="0"/>
    <w:rPr>
      <w:color w:val="0000FF"/>
      <w:u w:val="single"/>
    </w:rPr>
  </w:style>
  <w:style w:type="character" w:customStyle="1" w:styleId="14">
    <w:name w:val="标题 1 Char"/>
    <w:link w:val="2"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5">
    <w:name w:val="qian"/>
    <w:basedOn w:val="11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274</Words>
  <Characters>1565</Characters>
  <Lines>13</Lines>
  <Paragraphs>3</Paragraphs>
  <TotalTime>0</TotalTime>
  <ScaleCrop>false</ScaleCrop>
  <LinksUpToDate>false</LinksUpToDate>
  <CharactersWithSpaces>1836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2019-09-06T01:04:00Z</dcterms:created>
  <cp:lastModifiedBy>vertesyuan</cp:lastModifiedBy>
  <cp:lastPrinted>2012-09-18T06:09:00Z</cp:lastPrinted>
  <dcterms:modified xsi:type="dcterms:W3CDTF">2022-09-16T04:22:39Z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98D4783F19E045648CBE5E7828A71593</vt:lpwstr>
  </property>
</Properties>
</file>