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硕士研究生入学考试大纲</w:t>
      </w:r>
    </w:p>
    <w:p>
      <w:pPr>
        <w:spacing w:line="288" w:lineRule="auto"/>
        <w:jc w:val="center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28"/>
        </w:rPr>
        <w:t>考试科目名称：仪器分析</w:t>
      </w:r>
    </w:p>
    <w:p>
      <w:pPr>
        <w:numPr>
          <w:ilvl w:val="0"/>
          <w:numId w:val="1"/>
        </w:numPr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援引教材</w:t>
      </w:r>
    </w:p>
    <w:p>
      <w:pPr>
        <w:ind w:firstLine="400" w:firstLineChars="200"/>
        <w:rPr>
          <w:rFonts w:hint="eastAsia"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《仪器分析》第五版 高等教育出版社 胡坪、王氢 2019年</w:t>
      </w:r>
    </w:p>
    <w:p>
      <w:pPr>
        <w:spacing w:line="34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二、 考试要求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要求学生全面系统地掌握仪器分析方法的基本原理和基本应用，并能够结合实际进行灵活运用，具有较强的分析问题、解决问题的能力。</w:t>
      </w:r>
    </w:p>
    <w:p>
      <w:pPr>
        <w:spacing w:line="34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 考试内容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1) 气相色谱分析法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气相色谱仪基本构造。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气相色谱法基本概念和气相色谱分析理论基础（塔板理论、速率理论）。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色谱分离条件的选择。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气相色谱定性、定量分析方法。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毛细管柱气相色谱法。</w:t>
      </w:r>
    </w:p>
    <w:p>
      <w:pPr>
        <w:numPr>
          <w:ilvl w:val="0"/>
          <w:numId w:val="2"/>
        </w:numPr>
        <w:spacing w:line="340" w:lineRule="exact"/>
        <w:rPr>
          <w:rFonts w:hint="eastAsia"/>
        </w:rPr>
      </w:pPr>
      <w:r>
        <w:rPr>
          <w:rFonts w:hint="eastAsia"/>
        </w:rPr>
        <w:t>气相色谱分析的特点及其应用。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2)  高效液相色谱分析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高效液相色谱仪。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高效液相色谱法的主要类型及其分离原理。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高效液相色谱法的特点及应用。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3)  紫外吸收光谱分析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紫外及可见分光光度计。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有机化合物的紫外吸收光谱。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溶剂对紫外吸收光谱的影响。</w:t>
      </w:r>
    </w:p>
    <w:p>
      <w:pPr>
        <w:numPr>
          <w:ilvl w:val="0"/>
          <w:numId w:val="4"/>
        </w:numPr>
        <w:spacing w:line="340" w:lineRule="exact"/>
        <w:rPr>
          <w:rFonts w:hint="eastAsia"/>
        </w:rPr>
      </w:pPr>
      <w:r>
        <w:rPr>
          <w:rFonts w:hint="eastAsia"/>
        </w:rPr>
        <w:t>紫外吸收光谱的应用。</w:t>
      </w:r>
    </w:p>
    <w:p>
      <w:pPr>
        <w:spacing w:line="340" w:lineRule="exact"/>
        <w:rPr>
          <w:rFonts w:hint="eastAsia"/>
        </w:rPr>
      </w:pPr>
      <w:r>
        <w:rPr>
          <w:rFonts w:hint="eastAsia"/>
        </w:rPr>
        <w:t xml:space="preserve">    4)  红外吸收光谱分析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红外吸收光谱的产生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红外吸收光谱与分子结构关系，主要基团特征吸收。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影响基团频率位移的因素。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由红外光谱图确定常见有机化合物结构，定性分析。</w:t>
      </w:r>
    </w:p>
    <w:p>
      <w:pPr>
        <w:numPr>
          <w:ilvl w:val="0"/>
          <w:numId w:val="5"/>
        </w:numPr>
        <w:spacing w:line="340" w:lineRule="exact"/>
        <w:rPr>
          <w:rFonts w:hint="eastAsia"/>
        </w:rPr>
      </w:pPr>
      <w:r>
        <w:rPr>
          <w:rFonts w:hint="eastAsia"/>
        </w:rPr>
        <w:t>红外光谱仪、傅里叶变换红外光谱仪。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5)  核磁共振波谱分析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>核磁共振产生条件和原理。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>核磁共振谱图与化学位移。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>核磁共振波谱仪。</w:t>
      </w:r>
    </w:p>
    <w:p>
      <w:pPr>
        <w:numPr>
          <w:ilvl w:val="0"/>
          <w:numId w:val="6"/>
        </w:numPr>
        <w:spacing w:line="340" w:lineRule="exact"/>
        <w:rPr>
          <w:rFonts w:hint="eastAsia"/>
        </w:rPr>
      </w:pPr>
      <w:r>
        <w:rPr>
          <w:rFonts w:hint="eastAsia"/>
        </w:rPr>
        <w:t>图谱解析及确定有机化合物结构。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6)  质谱分析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质谱分析原理。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离子的类型。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质谱定性分析及图谱解析。</w:t>
      </w:r>
    </w:p>
    <w:p>
      <w:pPr>
        <w:numPr>
          <w:ilvl w:val="0"/>
          <w:numId w:val="7"/>
        </w:numPr>
        <w:spacing w:line="340" w:lineRule="exact"/>
        <w:rPr>
          <w:rFonts w:hint="eastAsia"/>
        </w:rPr>
      </w:pPr>
      <w:r>
        <w:rPr>
          <w:rFonts w:hint="eastAsia"/>
        </w:rPr>
        <w:t>气相色谱-质谱联用技术。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7)  综合谱图解析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综合应用紫外吸收光谱、红外吸收光谱、核磁共振波谱分析、质谱分析等手段对常见有机化合物结构解析。</w:t>
      </w:r>
    </w:p>
    <w:p>
      <w:pPr>
        <w:spacing w:line="340" w:lineRule="exact"/>
        <w:rPr>
          <w:rFonts w:hint="eastAsia"/>
        </w:rPr>
      </w:pPr>
      <w:r>
        <w:rPr>
          <w:rFonts w:hint="eastAsia"/>
        </w:rPr>
        <w:t xml:space="preserve">    8) 原子发射光谱分析 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原子发射光谱分析的基本原理。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光谱定性、定量分析依据和方法。</w:t>
      </w:r>
    </w:p>
    <w:p>
      <w:pPr>
        <w:numPr>
          <w:ilvl w:val="0"/>
          <w:numId w:val="8"/>
        </w:numPr>
        <w:spacing w:line="340" w:lineRule="exact"/>
        <w:rPr>
          <w:rFonts w:hint="eastAsia"/>
        </w:rPr>
      </w:pPr>
      <w:r>
        <w:rPr>
          <w:rFonts w:hint="eastAsia"/>
        </w:rPr>
        <w:t>原子发射光谱分析的特点和应用。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9)  原子吸收光谱分析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原子吸收光谱分析基本原理。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原子吸收分光光度计。</w:t>
      </w:r>
    </w:p>
    <w:p>
      <w:pPr>
        <w:numPr>
          <w:ilvl w:val="0"/>
          <w:numId w:val="9"/>
        </w:numPr>
        <w:spacing w:line="340" w:lineRule="exact"/>
        <w:rPr>
          <w:rFonts w:hint="eastAsia"/>
        </w:rPr>
      </w:pPr>
      <w:r>
        <w:rPr>
          <w:rFonts w:hint="eastAsia"/>
        </w:rPr>
        <w:t>原子吸收光谱分析法的特点及其应用。</w:t>
      </w:r>
    </w:p>
    <w:p>
      <w:pPr>
        <w:spacing w:line="340" w:lineRule="exact"/>
        <w:ind w:left="420"/>
        <w:rPr>
          <w:rFonts w:hint="eastAsia"/>
        </w:rPr>
      </w:pPr>
      <w:r>
        <w:rPr>
          <w:rFonts w:hint="eastAsia"/>
        </w:rPr>
        <w:t>10) 电位分析法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电位分析法的原理、电位分析法测定溶液的pH。</w:t>
      </w:r>
    </w:p>
    <w:p>
      <w:pPr>
        <w:numPr>
          <w:ilvl w:val="0"/>
          <w:numId w:val="10"/>
        </w:numPr>
        <w:spacing w:line="340" w:lineRule="exact"/>
        <w:rPr>
          <w:rFonts w:hint="eastAsia"/>
        </w:rPr>
      </w:pPr>
      <w:r>
        <w:rPr>
          <w:rFonts w:hint="eastAsia"/>
        </w:rPr>
        <w:t>离子选择电极性能和应用。</w:t>
      </w:r>
    </w:p>
    <w:p>
      <w:pPr>
        <w:tabs>
          <w:tab w:val="left" w:pos="2685"/>
        </w:tabs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12) 伏安分析法</w:t>
      </w:r>
      <w:r>
        <w:tab/>
      </w:r>
    </w:p>
    <w:p>
      <w:pPr>
        <w:numPr>
          <w:ilvl w:val="0"/>
          <w:numId w:val="11"/>
        </w:numPr>
        <w:spacing w:line="340" w:lineRule="exact"/>
        <w:rPr>
          <w:rFonts w:hint="eastAsia"/>
        </w:rPr>
      </w:pPr>
      <w:r>
        <w:rPr>
          <w:rFonts w:hint="eastAsia"/>
        </w:rPr>
        <w:t>极谱分析的基本原理、极谱定量定性分析基础。</w:t>
      </w:r>
    </w:p>
    <w:p>
      <w:pPr>
        <w:numPr>
          <w:ilvl w:val="0"/>
          <w:numId w:val="11"/>
        </w:numPr>
        <w:spacing w:line="340" w:lineRule="exact"/>
        <w:rPr>
          <w:rFonts w:hint="eastAsia"/>
        </w:rPr>
      </w:pPr>
      <w:r>
        <w:rPr>
          <w:rFonts w:hint="eastAsia"/>
        </w:rPr>
        <w:t>干扰电流及其消除方法。</w:t>
      </w:r>
    </w:p>
    <w:p>
      <w:pPr>
        <w:numPr>
          <w:ilvl w:val="0"/>
          <w:numId w:val="11"/>
        </w:numPr>
        <w:spacing w:line="340" w:lineRule="exact"/>
        <w:rPr>
          <w:rFonts w:hint="eastAsia"/>
        </w:rPr>
      </w:pPr>
      <w:r>
        <w:rPr>
          <w:rFonts w:hint="eastAsia"/>
        </w:rPr>
        <w:t>极谱分析的特点及其存在的问题。极谱催化波、单扫描极谱法、方波极谱等。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214A6"/>
    <w:multiLevelType w:val="multilevel"/>
    <w:tmpl w:val="0F3214A6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1">
    <w:nsid w:val="2BE233BE"/>
    <w:multiLevelType w:val="multilevel"/>
    <w:tmpl w:val="2BE233BE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2">
    <w:nsid w:val="302A77F6"/>
    <w:multiLevelType w:val="multilevel"/>
    <w:tmpl w:val="302A77F6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3">
    <w:nsid w:val="408A2C9C"/>
    <w:multiLevelType w:val="multilevel"/>
    <w:tmpl w:val="408A2C9C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4">
    <w:nsid w:val="41B44AE9"/>
    <w:multiLevelType w:val="multilevel"/>
    <w:tmpl w:val="41B44AE9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5">
    <w:nsid w:val="42515620"/>
    <w:multiLevelType w:val="multilevel"/>
    <w:tmpl w:val="42515620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6">
    <w:nsid w:val="57859F63"/>
    <w:multiLevelType w:val="singleLevel"/>
    <w:tmpl w:val="57859F63"/>
    <w:lvl w:ilvl="0" w:tentative="0">
      <w:start w:val="1"/>
      <w:numFmt w:val="chineseCounting"/>
      <w:suff w:val="space"/>
      <w:lvlText w:val="%1、"/>
      <w:lvlJc w:val="left"/>
    </w:lvl>
  </w:abstractNum>
  <w:abstractNum w:abstractNumId="7">
    <w:nsid w:val="64816FD1"/>
    <w:multiLevelType w:val="multilevel"/>
    <w:tmpl w:val="64816FD1"/>
    <w:lvl w:ilvl="0" w:tentative="0">
      <w:start w:val="1"/>
      <w:numFmt w:val="bullet"/>
      <w:lvlText w:val="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95"/>
        </w:tabs>
        <w:ind w:left="16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15"/>
        </w:tabs>
        <w:ind w:left="21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35"/>
        </w:tabs>
        <w:ind w:left="25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55"/>
        </w:tabs>
        <w:ind w:left="29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75"/>
        </w:tabs>
        <w:ind w:left="33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95"/>
        </w:tabs>
        <w:ind w:left="37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15"/>
        </w:tabs>
        <w:ind w:left="42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35"/>
        </w:tabs>
        <w:ind w:left="4635" w:hanging="420"/>
      </w:pPr>
      <w:rPr>
        <w:rFonts w:hint="default" w:ascii="Wingdings" w:hAnsi="Wingdings"/>
      </w:rPr>
    </w:lvl>
  </w:abstractNum>
  <w:abstractNum w:abstractNumId="8">
    <w:nsid w:val="673B2035"/>
    <w:multiLevelType w:val="multilevel"/>
    <w:tmpl w:val="673B2035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9">
    <w:nsid w:val="674E5E69"/>
    <w:multiLevelType w:val="multilevel"/>
    <w:tmpl w:val="674E5E69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10">
    <w:nsid w:val="76AA3C8B"/>
    <w:multiLevelType w:val="multilevel"/>
    <w:tmpl w:val="76AA3C8B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7F"/>
    <w:rsid w:val="00144ED1"/>
    <w:rsid w:val="00632D7A"/>
    <w:rsid w:val="006B6817"/>
    <w:rsid w:val="00745CDC"/>
    <w:rsid w:val="00AF1B76"/>
    <w:rsid w:val="00D5397F"/>
    <w:rsid w:val="00FB0C01"/>
    <w:rsid w:val="24726A56"/>
    <w:rsid w:val="60702576"/>
    <w:rsid w:val="74421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基础化学</Company>
  <Pages>2</Pages>
  <Words>132</Words>
  <Characters>757</Characters>
  <Lines>6</Lines>
  <Paragraphs>1</Paragraphs>
  <TotalTime>0</TotalTime>
  <ScaleCrop>false</ScaleCrop>
  <LinksUpToDate>false</LinksUpToDate>
  <CharactersWithSpaces>888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2006-06-15T14:15:00Z</dcterms:created>
  <dc:creator>jchx</dc:creator>
  <cp:lastModifiedBy>vertesyuan</cp:lastModifiedBy>
  <cp:lastPrinted>2001-10-26T06:57:00Z</cp:lastPrinted>
  <dcterms:modified xsi:type="dcterms:W3CDTF">2022-09-16T04:52:44Z</dcterms:modified>
  <dc:title>硕士生入学专业课复试大纲：仪器分析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9143CBD097A34CC1A0391E1D789E1BBC</vt:lpwstr>
  </property>
</Properties>
</file>