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硕士研究生入学考试大纲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考试科目名称：微观经济学</w:t>
      </w:r>
    </w:p>
    <w:p>
      <w:pPr>
        <w:spacing w:line="340" w:lineRule="exact"/>
        <w:rPr>
          <w:rFonts w:hint="eastAsia"/>
        </w:rPr>
      </w:pPr>
      <w:r>
        <w:rPr>
          <w:rFonts w:hint="eastAsia" w:eastAsia="黑体"/>
          <w:sz w:val="24"/>
        </w:rPr>
        <w:t>一、考试大纲援引教材</w:t>
      </w:r>
    </w:p>
    <w:p>
      <w:pPr>
        <w:widowControl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《西方经济学》（第二版）上册 高等教育出版社、人民出版社 《西方经济学》编写组 2019年</w:t>
      </w:r>
    </w:p>
    <w:p>
      <w:pPr>
        <w:spacing w:line="340" w:lineRule="exact"/>
        <w:rPr>
          <w:rFonts w:ascii="仿宋" w:hAnsi="仿宋" w:eastAsia="仿宋" w:cs="Arial"/>
          <w:color w:val="FF0000"/>
          <w:w w:val="95"/>
          <w:position w:val="-6"/>
          <w:sz w:val="28"/>
          <w:szCs w:val="28"/>
        </w:rPr>
      </w:pPr>
    </w:p>
    <w:p>
      <w:pPr>
        <w:spacing w:line="34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二、考试要求</w:t>
      </w:r>
    </w:p>
    <w:p>
      <w:pPr>
        <w:spacing w:line="340" w:lineRule="exact"/>
        <w:ind w:firstLine="420" w:firstLineChars="200"/>
        <w:rPr>
          <w:rFonts w:hint="eastAsia"/>
        </w:rPr>
      </w:pPr>
      <w:r>
        <w:rPr>
          <w:rFonts w:hint="eastAsia"/>
        </w:rPr>
        <w:t>要求考生系统掌握微观经济学的基本概念、基本原理、基本图形和基本计算，具备运用微观经济学原理分析和解决问题的能力。</w:t>
      </w:r>
    </w:p>
    <w:p>
      <w:pPr>
        <w:spacing w:line="340" w:lineRule="exact"/>
        <w:rPr>
          <w:rFonts w:hint="eastAsia"/>
        </w:rPr>
      </w:pPr>
      <w:r>
        <w:rPr>
          <w:rFonts w:hint="eastAsia" w:eastAsia="黑体"/>
          <w:sz w:val="24"/>
        </w:rPr>
        <w:t>三、考试内容</w:t>
      </w:r>
    </w:p>
    <w:p>
      <w:pPr>
        <w:widowControl/>
        <w:tabs>
          <w:tab w:val="left" w:pos="960"/>
        </w:tabs>
        <w:spacing w:line="400" w:lineRule="atLeast"/>
        <w:ind w:left="975" w:hanging="96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cs="宋体"/>
          <w:b/>
          <w:kern w:val="0"/>
          <w:sz w:val="24"/>
        </w:rPr>
        <w:t>引论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</w:t>
      </w:r>
      <w:r>
        <w:rPr>
          <w:rFonts w:hint="eastAsia" w:cs="宋体"/>
          <w:kern w:val="0"/>
          <w:sz w:val="24"/>
        </w:rPr>
        <w:t>微观经济学的研究对象</w:t>
      </w:r>
    </w:p>
    <w:p>
      <w:pPr>
        <w:widowControl/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1.微观经济学的研究对象是个体经济单位</w:t>
      </w:r>
    </w:p>
    <w:p>
      <w:pPr>
        <w:widowControl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微观经济学对个体经济单位考察的三个层次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</w:t>
      </w:r>
      <w:r>
        <w:rPr>
          <w:rFonts w:hint="eastAsia" w:cs="宋体"/>
          <w:kern w:val="0"/>
          <w:sz w:val="24"/>
        </w:rPr>
        <w:t>微观经济学的一个基本假设条件：理性经济人</w:t>
      </w:r>
    </w:p>
    <w:p>
      <w:pPr>
        <w:widowControl/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</w:t>
      </w:r>
      <w:r>
        <w:rPr>
          <w:rFonts w:hint="eastAsia" w:cs="宋体"/>
          <w:kern w:val="0"/>
          <w:sz w:val="24"/>
        </w:rPr>
        <w:t>微观经济学要解决的主要问题是：</w:t>
      </w:r>
    </w:p>
    <w:p>
      <w:pPr>
        <w:widowControl/>
        <w:spacing w:line="400" w:lineRule="atLeast"/>
        <w:ind w:left="49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</w:t>
      </w:r>
      <w:r>
        <w:rPr>
          <w:rFonts w:hint="eastAsia" w:cs="宋体"/>
          <w:kern w:val="0"/>
          <w:sz w:val="24"/>
        </w:rPr>
        <w:t>生产什么物品和劳务以及各生产多少？</w:t>
      </w:r>
      <w:r>
        <w:rPr>
          <w:rFonts w:ascii="宋体" w:hAnsi="宋体" w:cs="宋体"/>
          <w:kern w:val="0"/>
          <w:sz w:val="24"/>
        </w:rPr>
        <w:t>(what)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</w:t>
      </w:r>
      <w:r>
        <w:rPr>
          <w:rFonts w:hint="eastAsia" w:cs="宋体"/>
          <w:kern w:val="0"/>
          <w:sz w:val="24"/>
        </w:rPr>
        <w:t>如何生产？</w:t>
      </w:r>
      <w:r>
        <w:rPr>
          <w:rFonts w:ascii="宋体" w:hAnsi="宋体" w:cs="宋体"/>
          <w:kern w:val="0"/>
          <w:sz w:val="24"/>
        </w:rPr>
        <w:t>(how)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</w:t>
      </w:r>
      <w:r>
        <w:rPr>
          <w:rFonts w:hint="eastAsia" w:cs="宋体"/>
          <w:kern w:val="0"/>
          <w:sz w:val="24"/>
        </w:rPr>
        <w:t>为谁生产这些物品和劳务？</w:t>
      </w:r>
      <w:r>
        <w:rPr>
          <w:rFonts w:ascii="宋体" w:hAnsi="宋体" w:cs="宋体"/>
          <w:kern w:val="0"/>
          <w:sz w:val="24"/>
        </w:rPr>
        <w:t>(for whom)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960"/>
        </w:tabs>
        <w:spacing w:line="400" w:lineRule="atLeast"/>
        <w:ind w:left="975" w:hanging="96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第</w:t>
      </w:r>
      <w:r>
        <w:rPr>
          <w:rFonts w:hint="eastAsia" w:ascii="宋体" w:hAnsi="宋体" w:cs="宋体"/>
          <w:b/>
          <w:kern w:val="0"/>
          <w:sz w:val="24"/>
        </w:rPr>
        <w:t>一</w:t>
      </w:r>
      <w:r>
        <w:rPr>
          <w:rFonts w:ascii="宋体" w:hAnsi="宋体" w:cs="宋体"/>
          <w:b/>
          <w:kern w:val="0"/>
          <w:sz w:val="24"/>
        </w:rPr>
        <w:t>章</w:t>
      </w:r>
      <w:r>
        <w:rPr>
          <w:b/>
          <w:kern w:val="0"/>
          <w:sz w:val="24"/>
        </w:rPr>
        <w:t xml:space="preserve">       </w:t>
      </w:r>
      <w:r>
        <w:rPr>
          <w:rFonts w:hint="eastAsia" w:cs="宋体"/>
          <w:b/>
          <w:kern w:val="0"/>
          <w:sz w:val="24"/>
        </w:rPr>
        <w:t>需求、供给与均衡价格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</w:t>
      </w:r>
      <w:r>
        <w:rPr>
          <w:rFonts w:hint="eastAsia" w:cs="宋体"/>
          <w:kern w:val="0"/>
          <w:sz w:val="24"/>
        </w:rPr>
        <w:t>需求曲线</w:t>
      </w:r>
    </w:p>
    <w:p>
      <w:pPr>
        <w:widowControl/>
        <w:spacing w:line="400" w:lineRule="atLeast"/>
        <w:ind w:left="49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需求与需求函数的概念</w:t>
      </w:r>
    </w:p>
    <w:p>
      <w:pPr>
        <w:widowControl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需求表、需求曲线和需求规律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需求量和需求的变动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</w:t>
      </w:r>
      <w:r>
        <w:rPr>
          <w:rFonts w:hint="eastAsia" w:cs="宋体"/>
          <w:kern w:val="0"/>
          <w:sz w:val="24"/>
        </w:rPr>
        <w:t>供给曲线</w:t>
      </w:r>
    </w:p>
    <w:p>
      <w:pPr>
        <w:widowControl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供给与供给函数的概念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供给表、供给曲线和供给规律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供给量和供给的变动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</w:t>
      </w:r>
      <w:r>
        <w:rPr>
          <w:rFonts w:hint="eastAsia" w:ascii="宋体" w:hAnsi="宋体" w:cs="宋体"/>
          <w:kern w:val="0"/>
          <w:sz w:val="24"/>
        </w:rPr>
        <w:t>市场均衡</w:t>
      </w:r>
    </w:p>
    <w:p>
      <w:pPr>
        <w:widowControl/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1.均衡</w:t>
      </w:r>
      <w:r>
        <w:rPr>
          <w:rFonts w:hint="eastAsia" w:cs="宋体"/>
          <w:kern w:val="0"/>
          <w:sz w:val="24"/>
        </w:rPr>
        <w:t>的定义与均衡价格的决定。</w:t>
      </w:r>
    </w:p>
    <w:p>
      <w:pPr>
        <w:widowControl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.需求和供给的变动对均衡价格和均衡数量的影响</w:t>
      </w:r>
    </w:p>
    <w:p>
      <w:pPr>
        <w:widowControl/>
        <w:spacing w:line="400" w:lineRule="atLeast"/>
        <w:ind w:firstLine="48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3.供求定理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</w:t>
      </w:r>
      <w:r>
        <w:rPr>
          <w:rFonts w:hint="eastAsia" w:cs="宋体"/>
          <w:kern w:val="0"/>
          <w:sz w:val="24"/>
        </w:rPr>
        <w:t>弹性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需求的价格弹性及其分类、影响因素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供给的价格弹性</w:t>
      </w:r>
    </w:p>
    <w:p>
      <w:pPr>
        <w:widowControl/>
        <w:tabs>
          <w:tab w:val="left" w:pos="750"/>
        </w:tabs>
        <w:spacing w:line="400" w:lineRule="atLeast"/>
        <w:ind w:left="765" w:hanging="27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cs="宋体"/>
          <w:kern w:val="0"/>
          <w:sz w:val="24"/>
        </w:rPr>
        <w:t>需求的交叉价格弹性计算及其与互补品、替代品的关系</w:t>
      </w:r>
    </w:p>
    <w:p>
      <w:pPr>
        <w:widowControl/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hint="eastAsia" w:cs="宋体"/>
          <w:kern w:val="0"/>
          <w:sz w:val="24"/>
        </w:rPr>
        <w:t>需求的收入弹性</w:t>
      </w:r>
      <w:r>
        <w:rPr>
          <w:rFonts w:hint="eastAsia" w:ascii="宋体" w:hAnsi="宋体" w:cs="宋体"/>
          <w:kern w:val="0"/>
          <w:sz w:val="24"/>
        </w:rPr>
        <w:t>：计算，区分正常品与劣等品，</w:t>
      </w:r>
      <w:r>
        <w:rPr>
          <w:rFonts w:hint="eastAsia" w:cs="宋体"/>
          <w:kern w:val="0"/>
          <w:sz w:val="24"/>
        </w:rPr>
        <w:t>恩格尔定律</w:t>
      </w:r>
    </w:p>
    <w:p>
      <w:pPr>
        <w:widowControl/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五、供求分析的相关应用</w:t>
      </w:r>
    </w:p>
    <w:p>
      <w:pPr>
        <w:widowControl/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 xml:space="preserve">    支持价格、限制价格、税收效应计算，需求价格弹性与收益</w:t>
      </w:r>
    </w:p>
    <w:p>
      <w:pPr>
        <w:widowControl/>
        <w:spacing w:line="400" w:lineRule="atLeast"/>
        <w:ind w:left="495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cs="宋体"/>
          <w:b/>
          <w:kern w:val="0"/>
          <w:sz w:val="24"/>
        </w:rPr>
        <w:t xml:space="preserve">第二章 </w:t>
      </w:r>
      <w:r>
        <w:rPr>
          <w:rFonts w:hint="eastAsia" w:ascii="宋体" w:hAnsi="宋体" w:cs="宋体"/>
          <w:b/>
          <w:kern w:val="0"/>
          <w:sz w:val="24"/>
        </w:rPr>
        <w:t>消费者</w:t>
      </w:r>
      <w:r>
        <w:rPr>
          <w:rFonts w:ascii="宋体" w:hAnsi="宋体" w:cs="宋体"/>
          <w:b/>
          <w:kern w:val="0"/>
          <w:sz w:val="24"/>
        </w:rPr>
        <w:t>选择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</w:t>
      </w:r>
      <w:r>
        <w:rPr>
          <w:rFonts w:hint="eastAsia" w:ascii="宋体" w:hAnsi="宋体" w:cs="宋体"/>
          <w:kern w:val="0"/>
          <w:sz w:val="24"/>
        </w:rPr>
        <w:t>效用论概述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效用、基数效用、序数效用的定义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2.基数效用理论与</w:t>
      </w:r>
      <w:r>
        <w:rPr>
          <w:rFonts w:hint="eastAsia" w:cs="宋体"/>
          <w:kern w:val="0"/>
          <w:sz w:val="24"/>
        </w:rPr>
        <w:t>边际效用递减规律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消费者均衡条件：</w:t>
      </w:r>
      <w:r>
        <w:rPr>
          <w:rFonts w:cs="宋体"/>
          <w:kern w:val="0"/>
          <w:position w:val="-14"/>
          <w:sz w:val="24"/>
        </w:rPr>
        <w:object>
          <v:shape id="_x0000_i1025" o:spt="75" type="#_x0000_t75" style="height:19pt;width:121.95pt;" o:ole="t" filled="f" o:preferrelative="t" stroked="f" coordsize="21600,21600">
            <v:path/>
            <v:fill on="f" alignshape="1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.消费者剩余的定义与计算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</w:t>
      </w:r>
      <w:r>
        <w:rPr>
          <w:rFonts w:hint="eastAsia" w:cs="宋体"/>
          <w:kern w:val="0"/>
          <w:sz w:val="24"/>
        </w:rPr>
        <w:t>无差异曲线</w:t>
      </w:r>
    </w:p>
    <w:p>
      <w:pPr>
        <w:widowControl/>
        <w:tabs>
          <w:tab w:val="left" w:pos="480"/>
        </w:tabs>
        <w:spacing w:line="400" w:lineRule="atLeast"/>
        <w:ind w:left="493" w:leftChars="235"/>
        <w:jc w:val="left"/>
        <w:rPr>
          <w:rFonts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无差异曲线的定义、特点</w:t>
      </w:r>
    </w:p>
    <w:p>
      <w:pPr>
        <w:widowControl/>
        <w:tabs>
          <w:tab w:val="left" w:pos="750"/>
        </w:tabs>
        <w:spacing w:line="400" w:lineRule="atLeast"/>
        <w:ind w:left="765" w:hanging="27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2.边际替代率的概念、计算方法以及边际替代率递减规律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3.完全替代品和完全互补品的无差异曲线</w:t>
      </w:r>
    </w:p>
    <w:p>
      <w:pPr>
        <w:widowControl/>
        <w:tabs>
          <w:tab w:val="left" w:pos="840"/>
        </w:tabs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三、预算约束线与消费者均衡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预算线的定义及预算线的变动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消费者均衡的含义与条件</w:t>
      </w:r>
    </w:p>
    <w:p>
      <w:pPr>
        <w:widowControl/>
        <w:tabs>
          <w:tab w:val="left" w:pos="840"/>
        </w:tabs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四、价格变化和收入变化对消费者均衡的影响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1.商品价格变化对消费者均衡的影响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2.消费者收入变化对消费者均衡的影响</w:t>
      </w:r>
    </w:p>
    <w:p>
      <w:pPr>
        <w:widowControl/>
        <w:tabs>
          <w:tab w:val="left" w:pos="840"/>
        </w:tabs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五、替代效应与收入效应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1.替代效应与收入效用的含义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2.正常物品的替代效应和收入效应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3.低档物品的替代效应与收入效应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4.吉芬物品的替代效应与收入效应</w:t>
      </w:r>
    </w:p>
    <w:p>
      <w:pPr>
        <w:widowControl/>
        <w:tabs>
          <w:tab w:val="left" w:pos="840"/>
        </w:tabs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六、不确定性和风险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1.不确定性与风险的含义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2.期望效用与期望值的效用</w:t>
      </w:r>
    </w:p>
    <w:p>
      <w:pPr>
        <w:widowControl/>
        <w:tabs>
          <w:tab w:val="left" w:pos="840"/>
        </w:tabs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3.消费者的风险态度：风险回避、风险爱好、风险中立</w:t>
      </w:r>
    </w:p>
    <w:p>
      <w:pPr>
        <w:widowControl/>
        <w:spacing w:line="400" w:lineRule="atLeast"/>
        <w:jc w:val="center"/>
        <w:rPr>
          <w:rFonts w:ascii="宋体" w:hAnsi="宋体" w:cs="宋体"/>
          <w:b/>
          <w:kern w:val="0"/>
          <w:sz w:val="24"/>
        </w:rPr>
      </w:pPr>
    </w:p>
    <w:p>
      <w:pPr>
        <w:widowControl/>
        <w:spacing w:line="400" w:lineRule="atLeast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cs="宋体"/>
          <w:b/>
          <w:kern w:val="0"/>
          <w:sz w:val="24"/>
        </w:rPr>
        <w:t>第三章</w:t>
      </w:r>
      <w:r>
        <w:rPr>
          <w:rFonts w:ascii="宋体" w:hAnsi="宋体" w:cs="宋体"/>
          <w:b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企业</w:t>
      </w:r>
      <w:r>
        <w:rPr>
          <w:rFonts w:ascii="宋体" w:hAnsi="宋体" w:cs="宋体"/>
          <w:b/>
          <w:kern w:val="0"/>
          <w:sz w:val="24"/>
        </w:rPr>
        <w:t>的生产和成本</w:t>
      </w:r>
    </w:p>
    <w:p>
      <w:pPr>
        <w:widowControl/>
        <w:tabs>
          <w:tab w:val="left" w:pos="480"/>
        </w:tabs>
        <w:spacing w:line="40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一、</w:t>
      </w:r>
      <w:r>
        <w:rPr>
          <w:rFonts w:hint="eastAsia" w:cs="宋体"/>
          <w:kern w:val="0"/>
          <w:sz w:val="24"/>
        </w:rPr>
        <w:t>生产函数</w:t>
      </w:r>
    </w:p>
    <w:p>
      <w:pPr>
        <w:widowControl/>
        <w:tabs>
          <w:tab w:val="left" w:pos="480"/>
        </w:tabs>
        <w:spacing w:line="40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1.生产函数的定义</w:t>
      </w:r>
    </w:p>
    <w:p>
      <w:pPr>
        <w:widowControl/>
        <w:tabs>
          <w:tab w:val="left" w:pos="480"/>
        </w:tabs>
        <w:spacing w:line="40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2.生产的“短期”和“长期”的区分</w:t>
      </w:r>
    </w:p>
    <w:p>
      <w:pPr>
        <w:widowControl/>
        <w:tabs>
          <w:tab w:val="left" w:pos="48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3.生产函数的具体形式：线性生产函数、里昂惕夫生产函数、柯布—道格拉斯生产函数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二、</w:t>
      </w:r>
      <w:r>
        <w:rPr>
          <w:rFonts w:hint="eastAsia" w:cs="宋体"/>
          <w:kern w:val="0"/>
          <w:sz w:val="24"/>
        </w:rPr>
        <w:t>短期生产函数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总产量、平均产量和边际产量函数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总产量、平均产量和边际产量曲线之间的关系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生产要素报酬递减规律</w:t>
      </w:r>
    </w:p>
    <w:p>
      <w:pPr>
        <w:widowControl/>
        <w:spacing w:line="400" w:lineRule="atLeas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hint="eastAsia" w:cs="宋体"/>
          <w:kern w:val="0"/>
          <w:sz w:val="24"/>
        </w:rPr>
        <w:t>生产要素合理投入区域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三、</w:t>
      </w:r>
      <w:r>
        <w:rPr>
          <w:rFonts w:hint="eastAsia" w:cs="宋体"/>
          <w:kern w:val="0"/>
          <w:sz w:val="24"/>
        </w:rPr>
        <w:t>长期生产函数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等产量曲线的定义和特点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边际技术替代率的定义、计算方法以及边际技术替代率递减规律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等成本线的定义及等成本线的变动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hint="eastAsia" w:cs="宋体"/>
          <w:kern w:val="0"/>
          <w:sz w:val="24"/>
        </w:rPr>
        <w:t>最优的生产要素组合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四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cs="宋体"/>
          <w:kern w:val="0"/>
          <w:sz w:val="24"/>
        </w:rPr>
        <w:t>成本和成本函数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几种成本概念：机会成本、显性成本、隐含成本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五、短期成本函数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短期总产量曲线与短期总成本曲线的关系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 xml:space="preserve"> 短期总成本和扩展线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</w:t>
      </w:r>
      <w:r>
        <w:rPr>
          <w:rFonts w:hint="eastAsia" w:ascii="宋体" w:hAnsi="宋体" w:eastAsia="Times New Roman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短期成本的分类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hint="eastAsia" w:cs="宋体"/>
          <w:kern w:val="0"/>
          <w:sz w:val="24"/>
        </w:rPr>
        <w:t>固定成本、可变成本与总成本的定义与计算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cs="宋体"/>
          <w:kern w:val="0"/>
          <w:sz w:val="24"/>
        </w:rPr>
        <w:t>平均固定成本、平均可变成本、平均成本与边际成本的定义与计算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</w:rPr>
        <w:t>.短期成本变动的决定因素：边际报酬递减规律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7</w:t>
      </w:r>
      <w:r>
        <w:rPr>
          <w:rFonts w:hint="eastAsia" w:ascii="宋体" w:hAnsi="宋体" w:cs="宋体"/>
          <w:kern w:val="0"/>
          <w:sz w:val="24"/>
        </w:rPr>
        <w:t>.短期产量曲线与短期成本曲线之间的关系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六、长期成本曲线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长期总成本曲线</w:t>
      </w:r>
      <w:r>
        <w:rPr>
          <w:rFonts w:ascii="宋体" w:hAnsi="宋体" w:cs="宋体"/>
          <w:kern w:val="0"/>
          <w:sz w:val="24"/>
        </w:rPr>
        <w:t>LTC</w:t>
      </w:r>
      <w:r>
        <w:rPr>
          <w:rFonts w:hint="eastAsia" w:cs="宋体"/>
          <w:kern w:val="0"/>
          <w:sz w:val="24"/>
        </w:rPr>
        <w:t>是短期总成本曲线的包络线。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长期平均成本曲</w:t>
      </w:r>
      <w:r>
        <w:rPr>
          <w:rFonts w:hint="eastAsia" w:ascii="宋体" w:hAnsi="宋体" w:cs="宋体"/>
          <w:kern w:val="0"/>
          <w:sz w:val="24"/>
        </w:rPr>
        <w:t>线LAC是短期平均</w:t>
      </w:r>
      <w:r>
        <w:rPr>
          <w:rFonts w:hint="eastAsia" w:cs="宋体"/>
          <w:kern w:val="0"/>
          <w:sz w:val="24"/>
        </w:rPr>
        <w:t>成本曲线的包络线。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长期边际成本曲线</w:t>
      </w:r>
      <w:r>
        <w:rPr>
          <w:rFonts w:ascii="宋体" w:hAnsi="宋体" w:cs="宋体"/>
          <w:kern w:val="0"/>
          <w:sz w:val="24"/>
        </w:rPr>
        <w:t>LMC</w:t>
      </w:r>
      <w:r>
        <w:rPr>
          <w:rFonts w:hint="eastAsia" w:cs="宋体"/>
          <w:kern w:val="0"/>
          <w:sz w:val="24"/>
        </w:rPr>
        <w:t>不是短期边际成本曲线的包络线，这两条线相交而不相切。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4.规模经济与长期平均成本曲线的形状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tabs>
          <w:tab w:val="left" w:pos="960"/>
        </w:tabs>
        <w:spacing w:line="400" w:lineRule="atLeast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第四章  完全竞争市场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一、企业收益、市场结构和利润最大化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二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cs="宋体"/>
          <w:kern w:val="0"/>
          <w:sz w:val="24"/>
        </w:rPr>
        <w:t>完全竞争厂商的需求曲线和收益曲线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eastAsia="Times New Roman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cs="宋体"/>
          <w:kern w:val="0"/>
          <w:sz w:val="24"/>
        </w:rPr>
        <w:t>完全竞争市场的四个条件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完全竞争厂商的需求曲线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完全竞争厂商的总收益曲线、平均收益曲线和边际收益曲线</w:t>
      </w:r>
    </w:p>
    <w:p>
      <w:pPr>
        <w:widowControl/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三、厂商实现利润最大化的均衡条件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几种利润概念：经济利润、会计利润、正常利润。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厂商利润极大化的一阶条件和二阶条件。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四、</w:t>
      </w:r>
      <w:r>
        <w:rPr>
          <w:rFonts w:hint="eastAsia" w:ascii="宋体" w:hAnsi="宋体" w:cs="宋体"/>
          <w:kern w:val="0"/>
          <w:sz w:val="24"/>
        </w:rPr>
        <w:t>完全竞争</w:t>
      </w:r>
      <w:r>
        <w:rPr>
          <w:rFonts w:hint="eastAsia" w:cs="宋体"/>
          <w:kern w:val="0"/>
          <w:sz w:val="24"/>
        </w:rPr>
        <w:t>厂商短期均衡和短期供给曲线</w:t>
      </w:r>
    </w:p>
    <w:p>
      <w:pPr>
        <w:widowControl/>
        <w:tabs>
          <w:tab w:val="left" w:pos="480"/>
        </w:tabs>
        <w:spacing w:line="400" w:lineRule="atLeast"/>
        <w:ind w:left="49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短期均衡的条件：</w:t>
      </w:r>
      <w:r>
        <w:rPr>
          <w:rFonts w:cs="宋体"/>
          <w:kern w:val="0"/>
          <w:position w:val="-6"/>
          <w:sz w:val="24"/>
        </w:rPr>
        <w:object>
          <v:shape id="_x0000_i1026" o:spt="75" type="#_x0000_t75" style="height:13.95pt;width:59pt;" o:ole="t" filled="f" o:preferrelative="t" stroked="f" coordsize="21600,21600">
            <v:path/>
            <v:fill on="f" alignshape="1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cs="宋体"/>
          <w:kern w:val="0"/>
          <w:sz w:val="24"/>
        </w:rPr>
        <w:t>，其中</w:t>
      </w:r>
      <w:r>
        <w:rPr>
          <w:rFonts w:cs="宋体"/>
          <w:kern w:val="0"/>
          <w:position w:val="-4"/>
          <w:sz w:val="24"/>
        </w:rPr>
        <w:object>
          <v:shape id="_x0000_i1027" o:spt="75" type="#_x0000_t75" style="height:13pt;width:71pt;" o:ole="t" filled="f" o:preferrelative="t" stroked="f" coordsize="21600,21600">
            <v:path/>
            <v:fill on="f" alignshape="1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ascii="宋体" w:hAnsi="宋体" w:eastAsia="Times New Roman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cs="宋体"/>
          <w:kern w:val="0"/>
          <w:sz w:val="24"/>
        </w:rPr>
        <w:t>厂商的短期均衡</w:t>
      </w:r>
    </w:p>
    <w:p>
      <w:pPr>
        <w:widowControl/>
        <w:tabs>
          <w:tab w:val="left" w:pos="84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cs="宋体"/>
          <w:kern w:val="0"/>
          <w:sz w:val="24"/>
        </w:rPr>
        <w:t>完全竞争厂商的供给曲线</w:t>
      </w:r>
    </w:p>
    <w:p>
      <w:pPr>
        <w:widowControl/>
        <w:tabs>
          <w:tab w:val="left" w:pos="750"/>
        </w:tabs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.生产者剩余的含义及其计算。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五、</w:t>
      </w:r>
      <w:r>
        <w:rPr>
          <w:rFonts w:hint="eastAsia" w:cs="宋体"/>
          <w:kern w:val="0"/>
          <w:sz w:val="24"/>
        </w:rPr>
        <w:t>完全竞争厂商的长期均衡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厂商的长期均衡条件：</w:t>
      </w:r>
      <w:r>
        <w:rPr>
          <w:rFonts w:cs="宋体"/>
          <w:kern w:val="0"/>
          <w:position w:val="-6"/>
          <w:sz w:val="24"/>
        </w:rPr>
        <w:object>
          <v:shape id="_x0000_i1028" o:spt="75" type="#_x0000_t75" style="height:13.95pt;width:218pt;" o:ole="t" filled="f" o:preferrelative="t" stroked="f" coordsize="21600,21600">
            <v:path/>
            <v:fill on="f" alignshape="1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0">
            <o:LockedField>false</o:LockedField>
          </o:OLEObject>
        </w:object>
      </w:r>
    </w:p>
    <w:p>
      <w:pPr>
        <w:widowControl/>
        <w:tabs>
          <w:tab w:val="left" w:pos="840"/>
        </w:tabs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六、完全竞争行业</w:t>
      </w:r>
      <w:r>
        <w:rPr>
          <w:rFonts w:hint="eastAsia" w:cs="宋体"/>
          <w:kern w:val="0"/>
          <w:sz w:val="24"/>
        </w:rPr>
        <w:t>长期供给曲线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tabs>
          <w:tab w:val="left" w:pos="480"/>
        </w:tabs>
        <w:spacing w:line="400" w:lineRule="atLeast"/>
        <w:ind w:left="495" w:hanging="48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第五章  不完全竞争的市场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cs="宋体"/>
          <w:kern w:val="0"/>
          <w:sz w:val="24"/>
        </w:rPr>
        <w:t>完全垄断市场</w:t>
      </w:r>
    </w:p>
    <w:p>
      <w:pPr>
        <w:widowControl/>
        <w:tabs>
          <w:tab w:val="left" w:pos="480"/>
        </w:tabs>
        <w:spacing w:line="400" w:lineRule="atLeast"/>
        <w:ind w:left="493" w:leftChars="235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.完全垄断市场的</w:t>
      </w:r>
      <w:r>
        <w:rPr>
          <w:rFonts w:hint="eastAsia" w:cs="宋体"/>
          <w:kern w:val="0"/>
          <w:sz w:val="24"/>
        </w:rPr>
        <w:t>条件和垄断存在的原因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2.完全垄断市场和厂商的</w:t>
      </w:r>
      <w:r>
        <w:rPr>
          <w:rFonts w:hint="eastAsia" w:cs="宋体"/>
          <w:kern w:val="0"/>
          <w:sz w:val="24"/>
        </w:rPr>
        <w:t>需求曲线、收益曲线</w:t>
      </w:r>
    </w:p>
    <w:p>
      <w:pPr>
        <w:widowControl/>
        <w:spacing w:line="400" w:lineRule="atLeast"/>
        <w:ind w:firstLine="480" w:firstLineChars="200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cs="宋体"/>
          <w:kern w:val="0"/>
          <w:sz w:val="24"/>
        </w:rPr>
        <w:t>垄断厂商的短期均衡条件</w:t>
      </w:r>
    </w:p>
    <w:p>
      <w:pPr>
        <w:widowControl/>
        <w:spacing w:line="40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.垄断厂商的供给曲线</w:t>
      </w:r>
    </w:p>
    <w:p>
      <w:pPr>
        <w:widowControl/>
        <w:spacing w:line="40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5.垄断厂商的长期均衡的条件</w:t>
      </w:r>
    </w:p>
    <w:p>
      <w:pPr>
        <w:widowControl/>
        <w:spacing w:line="400" w:lineRule="atLeast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6</w:t>
      </w:r>
      <w:r>
        <w:rPr>
          <w:rFonts w:hint="eastAsia" w:ascii="宋体" w:hAnsi="宋体" w:cs="宋体"/>
          <w:kern w:val="0"/>
          <w:sz w:val="24"/>
        </w:rPr>
        <w:t>.</w:t>
      </w:r>
      <w:r>
        <w:rPr>
          <w:rFonts w:hint="eastAsia" w:cs="宋体"/>
          <w:kern w:val="0"/>
          <w:sz w:val="24"/>
        </w:rPr>
        <w:t>价格歧视</w:t>
      </w:r>
    </w:p>
    <w:p>
      <w:pPr>
        <w:widowControl/>
        <w:spacing w:line="400" w:lineRule="atLeast"/>
        <w:ind w:firstLine="48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</w:t>
      </w:r>
      <w:r>
        <w:rPr>
          <w:rFonts w:hint="eastAsia" w:cs="宋体"/>
          <w:kern w:val="0"/>
          <w:sz w:val="24"/>
        </w:rPr>
        <w:t>价格歧视的定义和三种表现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（2）一级、二级、</w:t>
      </w:r>
      <w:r>
        <w:rPr>
          <w:rFonts w:hint="eastAsia" w:cs="宋体"/>
          <w:kern w:val="0"/>
          <w:sz w:val="24"/>
        </w:rPr>
        <w:t>三级价格歧视的条件及定价机制</w:t>
      </w:r>
    </w:p>
    <w:p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二、垄断竞争市场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垄断竞争市场的条件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垄断竞争厂商的行为</w:t>
      </w:r>
    </w:p>
    <w:p>
      <w:pPr>
        <w:widowControl/>
        <w:tabs>
          <w:tab w:val="left" w:pos="750"/>
        </w:tabs>
        <w:spacing w:line="400" w:lineRule="atLeast"/>
        <w:ind w:left="765" w:hanging="27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（1）</w:t>
      </w:r>
      <w:r>
        <w:rPr>
          <w:rFonts w:hint="eastAsia" w:cs="宋体"/>
          <w:kern w:val="0"/>
          <w:sz w:val="24"/>
        </w:rPr>
        <w:t>垄断竞争厂商的需求曲线。</w:t>
      </w:r>
    </w:p>
    <w:p>
      <w:pPr>
        <w:widowControl/>
        <w:tabs>
          <w:tab w:val="left" w:pos="750"/>
        </w:tabs>
        <w:spacing w:line="400" w:lineRule="atLeast"/>
        <w:ind w:left="765" w:hanging="27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（2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cs="宋体"/>
          <w:kern w:val="0"/>
          <w:sz w:val="24"/>
        </w:rPr>
        <w:t>垄断竞争厂商短期均衡条件：</w:t>
      </w:r>
      <w:r>
        <w:rPr>
          <w:rFonts w:cs="宋体"/>
          <w:kern w:val="0"/>
          <w:position w:val="-6"/>
          <w:sz w:val="24"/>
        </w:rPr>
        <w:object>
          <v:shape id="_x0000_i1029" o:spt="75" type="#_x0000_t75" style="height:13.95pt;width:59pt;" o:ole="t" filled="f" o:preferrelative="t" stroked="f" coordsize="21600,21600">
            <v:path/>
            <v:fill on="f" alignshape="1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2">
            <o:LockedField>false</o:LockedField>
          </o:OLEObject>
        </w:object>
      </w:r>
      <w:r>
        <w:rPr>
          <w:rFonts w:hint="eastAsia" w:cs="宋体"/>
          <w:kern w:val="0"/>
          <w:sz w:val="24"/>
        </w:rPr>
        <w:t>。</w:t>
      </w:r>
    </w:p>
    <w:p>
      <w:pPr>
        <w:widowControl/>
        <w:tabs>
          <w:tab w:val="left" w:pos="750"/>
        </w:tabs>
        <w:spacing w:line="400" w:lineRule="atLeast"/>
        <w:ind w:left="765" w:hanging="27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（3）</w:t>
      </w:r>
      <w:r>
        <w:rPr>
          <w:rFonts w:hint="eastAsia" w:cs="宋体"/>
          <w:kern w:val="0"/>
          <w:sz w:val="24"/>
        </w:rPr>
        <w:t>垄断竞争厂商长期均衡条件：</w:t>
      </w:r>
      <w:r>
        <w:rPr>
          <w:rFonts w:cs="宋体"/>
          <w:kern w:val="0"/>
          <w:position w:val="-6"/>
          <w:sz w:val="24"/>
        </w:rPr>
        <w:object>
          <v:shape id="_x0000_i1030" o:spt="75" type="#_x0000_t75" style="height:13.95pt;width:98pt;" o:ole="t" filled="f" o:preferrelative="t" stroked="f" coordsize="21600,21600">
            <v:path/>
            <v:fill on="f" alignshape="1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4">
            <o:LockedField>false</o:LockedField>
          </o:OLEObject>
        </w:object>
      </w:r>
      <w:r>
        <w:rPr>
          <w:rFonts w:hint="eastAsia" w:ascii="宋体" w:hAnsi="宋体" w:cs="宋体"/>
          <w:kern w:val="0"/>
          <w:sz w:val="24"/>
        </w:rPr>
        <w:t>，且</w:t>
      </w:r>
      <w:r>
        <w:rPr>
          <w:rFonts w:cs="宋体"/>
          <w:kern w:val="0"/>
          <w:position w:val="-6"/>
          <w:sz w:val="24"/>
        </w:rPr>
        <w:object>
          <v:shape id="_x0000_i1031" o:spt="75" type="#_x0000_t75" style="height:13.95pt;width:91pt;" o:ole="t" filled="f" o:preferrelative="t" stroked="f" coordsize="21600,21600">
            <v:path/>
            <v:fill on="f" alignshape="1" focussize="0,0"/>
            <v:stroke on="f"/>
            <v:imagedata r:id="rId17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16">
            <o:LockedField>false</o:LockedField>
          </o:OLEObject>
        </w:object>
      </w:r>
      <w:r>
        <w:rPr>
          <w:rFonts w:hint="eastAsia" w:cs="宋体"/>
          <w:kern w:val="0"/>
          <w:sz w:val="24"/>
        </w:rPr>
        <w:t>。</w:t>
      </w:r>
    </w:p>
    <w:p>
      <w:pPr>
        <w:widowControl/>
        <w:tabs>
          <w:tab w:val="left" w:pos="480"/>
        </w:tabs>
        <w:spacing w:line="400" w:lineRule="atLeast"/>
        <w:ind w:left="495" w:hanging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三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hint="eastAsia" w:cs="宋体"/>
          <w:kern w:val="0"/>
          <w:sz w:val="24"/>
        </w:rPr>
        <w:t>寡头垄断市场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hint="eastAsia" w:cs="宋体"/>
          <w:kern w:val="0"/>
          <w:sz w:val="24"/>
        </w:rPr>
        <w:t>寡头垄断市场的特点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cs="宋体"/>
          <w:kern w:val="0"/>
          <w:sz w:val="24"/>
        </w:rPr>
        <w:t>古诺模型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3.价格领袖模型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4.</w:t>
      </w:r>
      <w:r>
        <w:rPr>
          <w:rFonts w:hint="eastAsia" w:cs="宋体"/>
          <w:kern w:val="0"/>
          <w:sz w:val="24"/>
        </w:rPr>
        <w:t>斯威齐模型</w:t>
      </w:r>
    </w:p>
    <w:p>
      <w:pPr>
        <w:widowControl/>
        <w:tabs>
          <w:tab w:val="left" w:pos="840"/>
        </w:tabs>
        <w:spacing w:line="400" w:lineRule="atLeast"/>
        <w:ind w:left="855" w:hanging="360"/>
        <w:jc w:val="lef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5.勾结和卡特尔</w:t>
      </w:r>
    </w:p>
    <w:p>
      <w:pPr>
        <w:widowControl/>
        <w:spacing w:line="400" w:lineRule="atLeas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四、博弈论初步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.博弈的要素及表达方式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2.博弈的分类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3.占优策略与囚徒困境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4.纳什均衡</w:t>
      </w:r>
    </w:p>
    <w:p>
      <w:pPr>
        <w:widowControl/>
        <w:spacing w:line="400" w:lineRule="atLeast"/>
        <w:rPr>
          <w:rFonts w:hint="eastAsia" w:cs="宋体"/>
          <w:kern w:val="0"/>
          <w:sz w:val="24"/>
        </w:rPr>
      </w:pPr>
    </w:p>
    <w:p>
      <w:pPr>
        <w:widowControl/>
        <w:spacing w:line="400" w:lineRule="atLeast"/>
        <w:jc w:val="center"/>
        <w:rPr>
          <w:rFonts w:hint="eastAsia" w:cs="宋体"/>
          <w:b/>
          <w:kern w:val="0"/>
          <w:sz w:val="24"/>
        </w:rPr>
      </w:pPr>
      <w:r>
        <w:rPr>
          <w:rFonts w:hint="eastAsia" w:cs="宋体"/>
          <w:b/>
          <w:kern w:val="0"/>
          <w:sz w:val="24"/>
        </w:rPr>
        <w:t>第六章  生产要素市场和收入分配</w:t>
      </w:r>
    </w:p>
    <w:p>
      <w:pPr>
        <w:widowControl/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一、完全竞争和要素需求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cs="宋体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.使用要素的边际产品价值和要素价格的含义</w:t>
      </w:r>
    </w:p>
    <w:p>
      <w:pPr>
        <w:widowControl/>
        <w:spacing w:line="400" w:lineRule="atLeast"/>
        <w:ind w:firstLine="48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2.完全竞争厂商使用生产要素的原则</w:t>
      </w:r>
    </w:p>
    <w:p>
      <w:pPr>
        <w:widowControl/>
        <w:spacing w:line="400" w:lineRule="atLeast"/>
        <w:ind w:firstLine="420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3．完全竞争厂商对生产要素的需求曲线</w:t>
      </w:r>
    </w:p>
    <w:p>
      <w:pPr>
        <w:widowControl/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二、生产要素的供给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cs="宋体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.要素所有者、最大化行为与供给问题</w:t>
      </w:r>
    </w:p>
    <w:p>
      <w:pPr>
        <w:widowControl/>
        <w:spacing w:line="400" w:lineRule="atLeast"/>
        <w:ind w:firstLine="480"/>
        <w:jc w:val="left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2.生产要素供给原则</w:t>
      </w:r>
      <w:r>
        <w:rPr>
          <w:rFonts w:hint="eastAsia" w:cs="宋体"/>
          <w:kern w:val="0"/>
          <w:sz w:val="24"/>
        </w:rPr>
        <w:t xml:space="preserve"> </w:t>
      </w:r>
    </w:p>
    <w:p>
      <w:pPr>
        <w:widowControl/>
        <w:spacing w:line="400" w:lineRule="atLeast"/>
        <w:jc w:val="lef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三、劳动和工资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</w:rPr>
        <w:t>.时间资源在劳动和闲暇供给之间的分配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2.劳动供给曲线的特点</w:t>
      </w:r>
    </w:p>
    <w:p>
      <w:pPr>
        <w:widowControl/>
        <w:spacing w:line="400" w:lineRule="atLeas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3.劳动的市场供给曲线和均衡工资的决定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四、土地和地租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  1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.土地供给曲线的特点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.使用土地的价格和地租的决定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五、资本和利息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.资本、利息的含义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2.资本的供给与贷款供给曲线的特点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3.资本市场的均衡</w:t>
      </w:r>
    </w:p>
    <w:p>
      <w:pPr>
        <w:spacing w:line="400" w:lineRule="atLeast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六、垄断条件下要素使用量和价格的决定</w:t>
      </w:r>
    </w:p>
    <w:p>
      <w:pPr>
        <w:widowControl/>
        <w:spacing w:line="400" w:lineRule="atLeast"/>
        <w:jc w:val="center"/>
        <w:rPr>
          <w:rFonts w:hint="eastAsia"/>
          <w:b/>
          <w:sz w:val="24"/>
        </w:rPr>
      </w:pPr>
    </w:p>
    <w:p>
      <w:pPr>
        <w:widowControl/>
        <w:spacing w:line="400" w:lineRule="atLeast"/>
        <w:jc w:val="center"/>
        <w:rPr>
          <w:rFonts w:hint="eastAsia" w:cs="宋体"/>
          <w:b/>
          <w:kern w:val="0"/>
          <w:sz w:val="24"/>
        </w:rPr>
      </w:pPr>
      <w:r>
        <w:rPr>
          <w:rFonts w:hint="eastAsia"/>
          <w:b/>
          <w:sz w:val="24"/>
        </w:rPr>
        <w:t>第七章</w:t>
      </w:r>
      <w:r>
        <w:rPr>
          <w:rFonts w:hint="eastAsia" w:cs="宋体"/>
          <w:b/>
          <w:kern w:val="0"/>
          <w:sz w:val="24"/>
        </w:rPr>
        <w:t xml:space="preserve"> 一般均衡与效率</w:t>
      </w:r>
    </w:p>
    <w:p>
      <w:pPr>
        <w:numPr>
          <w:ilvl w:val="0"/>
          <w:numId w:val="1"/>
        </w:num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判断经济效率的标准</w:t>
      </w:r>
    </w:p>
    <w:p>
      <w:pPr>
        <w:numPr>
          <w:ilvl w:val="0"/>
          <w:numId w:val="2"/>
        </w:numPr>
        <w:spacing w:line="400" w:lineRule="atLeast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帕累托改进的含义及判断标准</w:t>
      </w:r>
    </w:p>
    <w:p>
      <w:pPr>
        <w:numPr>
          <w:ilvl w:val="0"/>
          <w:numId w:val="2"/>
        </w:numPr>
        <w:spacing w:line="400" w:lineRule="atLeast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帕累托最优的含义及判断标准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二、实现帕累托最优的三个条件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 w:cs="宋体"/>
          <w:color w:val="000000"/>
          <w:kern w:val="0"/>
          <w:sz w:val="24"/>
          <w:szCs w:val="20"/>
        </w:rPr>
        <w:t>.交换效率的最优条件：</w:t>
      </w:r>
      <w:r>
        <w:rPr>
          <w:rFonts w:cs="宋体"/>
          <w:kern w:val="0"/>
          <w:position w:val="-12"/>
          <w:sz w:val="24"/>
        </w:rPr>
        <w:object>
          <v:shape id="_x0000_i1032" o:spt="75" type="#_x0000_t75" style="height:19pt;width:84pt;" o:ole="t" filled="f" o:preferrelative="t" stroked="f" coordsize="21600,21600">
            <v:path/>
            <v:fill on="f" alignshape="1" focussize="0,0"/>
            <v:stroke on="f"/>
            <v:imagedata r:id="rId19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18">
            <o:LockedField>false</o:LockedField>
          </o:OLEObject>
        </w:objec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2.生产效率的最优条件：</w:t>
      </w:r>
      <w:r>
        <w:rPr>
          <w:rFonts w:cs="宋体"/>
          <w:kern w:val="0"/>
          <w:position w:val="-12"/>
          <w:sz w:val="24"/>
        </w:rPr>
        <w:object>
          <v:shape id="_x0000_i1033" o:spt="75" type="#_x0000_t75" style="height:19pt;width:96.95pt;" o:ole="t" filled="f" o:preferrelative="t" stroked="f" coordsize="21600,21600">
            <v:path/>
            <v:fill on="f" alignshape="1" focussize="0,0"/>
            <v:stroke on="f"/>
            <v:imagedata r:id="rId21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0">
            <o:LockedField>false</o:LockedField>
          </o:OLEObject>
        </w:object>
      </w:r>
    </w:p>
    <w:p>
      <w:pPr>
        <w:spacing w:line="400" w:lineRule="atLeast"/>
        <w:ind w:firstLine="480"/>
        <w:rPr>
          <w:rFonts w:hint="eastAsia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3.交换和生产的最优条件：</w:t>
      </w:r>
      <w:r>
        <w:rPr>
          <w:rFonts w:cs="宋体"/>
          <w:kern w:val="0"/>
          <w:position w:val="-12"/>
          <w:sz w:val="24"/>
        </w:rPr>
        <w:object>
          <v:shape id="_x0000_i1034" o:spt="75" type="#_x0000_t75" style="height:19pt;width:84pt;" o:ole="t" filled="f" o:preferrelative="t" stroked="f" coordsize="21600,21600">
            <v:path/>
            <v:fill on="f" alignshape="1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2">
            <o:LockedField>false</o:LockedField>
          </o:OLEObject>
        </w:object>
      </w:r>
    </w:p>
    <w:p>
      <w:pPr>
        <w:spacing w:line="400" w:lineRule="atLeast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三、洛仑兹曲线和基尼系数</w:t>
      </w:r>
    </w:p>
    <w:p>
      <w:pPr>
        <w:spacing w:line="400" w:lineRule="atLeast"/>
        <w:ind w:firstLine="480"/>
        <w:rPr>
          <w:rFonts w:hint="eastAsia" w:ascii="宋体" w:hAnsi="宋体" w:cs="宋体"/>
          <w:color w:val="000000"/>
          <w:kern w:val="0"/>
          <w:sz w:val="24"/>
          <w:szCs w:val="20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1.洛仑兹曲线的含义与特点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0"/>
        </w:rPr>
        <w:t>2.基尼系数的含义与特点</w:t>
      </w:r>
    </w:p>
    <w:p>
      <w:pPr>
        <w:spacing w:line="400" w:lineRule="atLeast"/>
        <w:rPr>
          <w:rFonts w:hint="eastAsia"/>
          <w:sz w:val="24"/>
        </w:rPr>
      </w:pPr>
    </w:p>
    <w:p>
      <w:pPr>
        <w:widowControl/>
        <w:spacing w:line="400" w:lineRule="atLeast"/>
        <w:jc w:val="center"/>
        <w:rPr>
          <w:rFonts w:hint="eastAsia" w:cs="宋体"/>
          <w:b/>
          <w:kern w:val="0"/>
          <w:sz w:val="24"/>
        </w:rPr>
      </w:pPr>
      <w:r>
        <w:rPr>
          <w:rFonts w:hint="eastAsia"/>
          <w:b/>
          <w:sz w:val="24"/>
        </w:rPr>
        <w:t>第八章</w:t>
      </w:r>
      <w:r>
        <w:rPr>
          <w:rFonts w:hint="eastAsia" w:cs="宋体"/>
          <w:b/>
          <w:kern w:val="0"/>
          <w:sz w:val="24"/>
        </w:rPr>
        <w:t xml:space="preserve"> 市场失灵和微观经济政策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一、市场失灵的含义和类型</w:t>
      </w:r>
    </w:p>
    <w:p>
      <w:pPr>
        <w:spacing w:line="400" w:lineRule="atLeast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1．市场失灵的含义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2．市场失灵的原因：垄断、外部性、公共物品、信息不对称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二、垄断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1．垄断与低效率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2．搭便车和寻租的含义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3．对垄断的公共规制政策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三、外部性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1．外部影响及其分类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2．负外部性与科斯定理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四、公共物品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1．公共物品的含义和特征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2．公共物品的最优数量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3．公共资源与哈丁的公地悲剧</w:t>
      </w:r>
    </w:p>
    <w:p>
      <w:pPr>
        <w:spacing w:line="400" w:lineRule="atLeast"/>
        <w:rPr>
          <w:rFonts w:hint="eastAsia"/>
          <w:sz w:val="24"/>
        </w:rPr>
      </w:pPr>
      <w:r>
        <w:rPr>
          <w:rFonts w:hint="eastAsia"/>
          <w:sz w:val="24"/>
        </w:rPr>
        <w:t>五、信息不完全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1．信息不完全与市场失灵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2．逆向选择与道德风险的含义及区分</w:t>
      </w:r>
    </w:p>
    <w:p>
      <w:pPr>
        <w:spacing w:line="400" w:lineRule="atLeas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3．信息不对称和激励机制：委托代理问题</w:t>
      </w:r>
    </w:p>
    <w:p>
      <w:pPr>
        <w:spacing w:line="340" w:lineRule="exact"/>
        <w:rPr>
          <w:rFonts w:hint="eastAsia"/>
        </w:rPr>
      </w:pPr>
      <w:r>
        <w:rPr>
          <w:rFonts w:hint="eastAsia"/>
        </w:rPr>
        <w:t>六、要求会举例说明垄断、外部性、公共物品、信息不完全，并给出自己的治理建议。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4D093D"/>
    <w:multiLevelType w:val="multilevel"/>
    <w:tmpl w:val="1F4D093D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2C2F2FAB"/>
    <w:multiLevelType w:val="multilevel"/>
    <w:tmpl w:val="2C2F2FAB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2"/>
    <w:rsid w:val="000E727A"/>
    <w:rsid w:val="00143A85"/>
    <w:rsid w:val="003D00D6"/>
    <w:rsid w:val="0040622A"/>
    <w:rsid w:val="0053143E"/>
    <w:rsid w:val="006F4280"/>
    <w:rsid w:val="008073F1"/>
    <w:rsid w:val="0084007A"/>
    <w:rsid w:val="00842C7F"/>
    <w:rsid w:val="0085573B"/>
    <w:rsid w:val="00877CF4"/>
    <w:rsid w:val="008F0E73"/>
    <w:rsid w:val="00960043"/>
    <w:rsid w:val="009B7492"/>
    <w:rsid w:val="00B52D74"/>
    <w:rsid w:val="00C8210B"/>
    <w:rsid w:val="00D029D4"/>
    <w:rsid w:val="00D75F98"/>
    <w:rsid w:val="00D96626"/>
    <w:rsid w:val="00E0184D"/>
    <w:rsid w:val="00E44575"/>
    <w:rsid w:val="00EA6E37"/>
    <w:rsid w:val="00F04C02"/>
    <w:rsid w:val="01F46308"/>
    <w:rsid w:val="039F3803"/>
    <w:rsid w:val="07C1135D"/>
    <w:rsid w:val="68FB6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沈阳工业大学经济管理学院</Company>
  <Pages>6</Pages>
  <Words>470</Words>
  <Characters>2682</Characters>
  <Lines>22</Lines>
  <Paragraphs>6</Paragraphs>
  <TotalTime>0</TotalTime>
  <ScaleCrop>false</ScaleCrop>
  <LinksUpToDate>false</LinksUpToDate>
  <CharactersWithSpaces>3146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2021-07-08T05:46:00Z</dcterms:created>
  <dc:creator>LOVE</dc:creator>
  <cp:lastModifiedBy>vertesyuan</cp:lastModifiedBy>
  <dcterms:modified xsi:type="dcterms:W3CDTF">2022-09-16T04:52:05Z</dcterms:modified>
  <dc:title>2006年硕士研究生入学考试大纲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13EDAD1C5008464AA31A58D51CBD518C</vt:lpwstr>
  </property>
</Properties>
</file>