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</w:t>
      </w:r>
      <w:r>
        <w:rPr>
          <w:rFonts w:ascii="Times New Roman" w:hAnsi="Times New Roman"/>
          <w:sz w:val="28"/>
          <w:szCs w:val="28"/>
        </w:rPr>
        <w:t>金融工程学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一、金融工程概述</w:t>
      </w:r>
    </w:p>
    <w:p>
      <w:pPr>
        <w:pStyle w:val="13"/>
        <w:spacing w:after="0" w:line="0" w:lineRule="atLeast"/>
        <w:ind w:left="0" w:right="0" w:firstLine="0" w:firstLineChars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tabs>
          <w:tab w:val="left" w:pos="282"/>
          <w:tab w:val="left" w:pos="312"/>
        </w:tabs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金融工程基本概念；金融工程学与金融衍生品合约；金融市场上的交易员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1.了解本课程研究的对象、内容。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2.了解金融工程学的基本分析方法和涉及范围。</w:t>
      </w:r>
    </w:p>
    <w:p>
      <w:pPr>
        <w:spacing w:after="0" w:line="0" w:lineRule="atLeast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3.了解金融衍生品合约及金融市场交易员。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二、远期与期货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远期与期货市场、 期货市场运作机制、 远期与期货比较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1.了解远期与期货。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2.理解期货与期货市场的内涵。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3.学习和掌握远期与期货的不同。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三、远期与期货定价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远期价格与期货价格、无收益资产远期合约的定价、支付已知现金收益资产远期合约的定价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1.了解远期价格与期货价格。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2.学习和掌握无收益资产远期合约的定价</w:t>
      </w:r>
      <w:r>
        <w:rPr>
          <w:rFonts w:hint="eastAsia"/>
          <w:bCs/>
          <w:sz w:val="28"/>
          <w:szCs w:val="28"/>
        </w:rPr>
        <w:t>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3.学习和掌握支付已知现金收益资产远期合约的定价方法。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四、远期与期货运用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tabs>
          <w:tab w:val="left" w:pos="1152"/>
        </w:tabs>
        <w:adjustRightInd w:val="0"/>
        <w:snapToGrid w:val="0"/>
        <w:spacing w:line="300" w:lineRule="auto"/>
        <w:ind w:left="-3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对冲策略的基本原理、 远期价格与期货价格套期保值、远期价格与期货价格套利与投机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1.了解多头套期保值和空头套期保值。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2.应用远期与期货套利与投资。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五、期权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期权的类型、 标的资产与期权头寸、期权交易、佣金与保证金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1.了解期权的类型及使用范围。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2.掌握利用期权对冲风险的基本原理。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3.学习和理解期权合约。</w:t>
      </w:r>
    </w:p>
    <w:p>
      <w:pPr>
        <w:spacing w:after="0" w:line="0" w:lineRule="atLeast"/>
        <w:ind w:left="0" w:right="0" w:firstLine="560" w:firstLineChars="20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4.了解期权的市场监管规则。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b/>
          <w:sz w:val="28"/>
          <w:szCs w:val="28"/>
        </w:rPr>
        <w:t>股票期权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期权价格影响因素、期权价格的性质、 美式期权的提前行使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1.了解期权的价格影响因素及其影响规律。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2.掌握期权价格上下限和评价关系。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3.掌握美式期权提前行权的性质。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</w:p>
    <w:p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七、期权交易策略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单一期权与股票的策略、差价策略、组合策略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1.了解期权交易策略的基本概念。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2.学习和掌握期权与标的资产的组合策略。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3.学习和理解期权组合投资策略。</w:t>
      </w:r>
    </w:p>
    <w:p>
      <w:pPr>
        <w:pStyle w:val="8"/>
        <w:rPr>
          <w:rFonts w:hint="eastAsia" w:ascii="宋体" w:hAnsi="宋体" w:eastAsia="宋体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</w:t>
      </w:r>
      <w:r>
        <w:rPr>
          <w:rFonts w:hint="eastAsia"/>
          <w:b/>
          <w:sz w:val="28"/>
          <w:szCs w:val="28"/>
        </w:rPr>
        <w:t>二叉树模型与期权定价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二叉树模型与无套利方法、 风险中性定价、二叉树与期权定价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1.了解无套利方法和风险中性定价。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2.掌握二叉树的期权定价原理和方法。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3.理解期权delta</w:t>
      </w:r>
      <w:r>
        <w:rPr>
          <w:rFonts w:hint="eastAsia"/>
          <w:sz w:val="28"/>
          <w:szCs w:val="28"/>
        </w:rPr>
        <w:t>。</w:t>
      </w:r>
    </w:p>
    <w:p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</w:t>
      </w:r>
      <w:r>
        <w:rPr>
          <w:rFonts w:hint="eastAsia"/>
          <w:b/>
          <w:sz w:val="28"/>
          <w:szCs w:val="28"/>
        </w:rPr>
        <w:t>维纳过程与伊藤引理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随机过程与股票价格、 伊藤引理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1.了解股票价格过程与一般随机过程。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2.掌握伊藤引理。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3.理解金融衍生产品的定价原理</w:t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</w:t>
      </w:r>
      <w:r>
        <w:rPr>
          <w:rFonts w:hint="eastAsia"/>
          <w:b/>
          <w:sz w:val="28"/>
          <w:szCs w:val="28"/>
        </w:rPr>
        <w:t>Black-Scholes 期权定价公式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收益率分布与预期收益率、波动率、 BS微分方程及其推导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1.了解标的资产收益率分布与预期收益率概念。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2.掌握波动率对期权价格的影响。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3.理解和掌握BS定价公式及推导。</w:t>
      </w:r>
    </w:p>
    <w:p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</w:t>
      </w:r>
      <w:r>
        <w:rPr>
          <w:rFonts w:hint="eastAsia"/>
          <w:b/>
          <w:sz w:val="28"/>
          <w:szCs w:val="28"/>
        </w:rPr>
        <w:t>股指期权与货币期权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股指期权定价、货币期权定价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1.了解股指期权与货币期权概念。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2.掌握股指期权定价。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3.掌握货币期权定价。</w:t>
      </w:r>
    </w:p>
    <w:p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十二、</w:t>
      </w:r>
      <w:r>
        <w:rPr>
          <w:rFonts w:hint="eastAsia"/>
          <w:b/>
          <w:sz w:val="28"/>
          <w:szCs w:val="28"/>
        </w:rPr>
        <w:t>期货期权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期货期权的价格性质、期货期权的二叉树定价方法、期货期权的BS定价方法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1.了解和掌握期货期权的概念和性质。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2.理解和掌握期货期权的二叉树定价方法。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3.理解和掌握期货期权的BS定价方法。</w:t>
      </w:r>
    </w:p>
    <w:p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十三、希</w:t>
      </w:r>
      <w:r>
        <w:rPr>
          <w:rFonts w:hint="eastAsia"/>
          <w:b/>
          <w:sz w:val="28"/>
          <w:szCs w:val="28"/>
        </w:rPr>
        <w:t>腊值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头寸与止损策略、 delta对冲策略、 期权的希腊值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1.了解和掌握头寸与对冲策略的概念和性质。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2.理解和掌握期权的希腊值及其性质。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十四、</w:t>
      </w:r>
      <w:r>
        <w:rPr>
          <w:rFonts w:hint="eastAsia"/>
          <w:b/>
          <w:sz w:val="28"/>
          <w:szCs w:val="28"/>
        </w:rPr>
        <w:t>波动率微笑与期限结构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波动率微笑、波动率期限结构、波动率曲面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1.了解期权隐含波动率概念和性质。</w:t>
      </w:r>
    </w:p>
    <w:p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2.掌握波动率微笑性质和特点。</w:t>
      </w:r>
    </w:p>
    <w:p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3.掌握波动率期限结构性质和特点。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</w:t>
      </w:r>
      <w:r>
        <w:rPr>
          <w:rFonts w:hint="eastAsia"/>
          <w:sz w:val="28"/>
          <w:szCs w:val="28"/>
        </w:rPr>
        <w:t>：</w:t>
      </w:r>
    </w:p>
    <w:p>
      <w:pPr>
        <w:tabs>
          <w:tab w:val="left" w:pos="993"/>
        </w:tabs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使用教材</w:t>
      </w:r>
    </w:p>
    <w:p>
      <w:pPr>
        <w:tabs>
          <w:tab w:val="left" w:pos="993"/>
        </w:tabs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约翰.赫尔（加）著.  期权、期货及其他衍生产品（原书第9版). 机械工业出版社, 2014</w:t>
      </w:r>
    </w:p>
    <w:p>
      <w:pPr>
        <w:tabs>
          <w:tab w:val="left" w:pos="993"/>
        </w:tabs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主要参考书</w:t>
      </w:r>
    </w:p>
    <w:p>
      <w:pPr>
        <w:tabs>
          <w:tab w:val="left" w:pos="993"/>
        </w:tabs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郑振龙，陈蓉  主编. 金融工程(第4版). 高等教育出版社, 2016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957"/>
    <w:rsid w:val="002F59DA"/>
    <w:rsid w:val="0035790F"/>
    <w:rsid w:val="003625D6"/>
    <w:rsid w:val="004259D1"/>
    <w:rsid w:val="004F45DC"/>
    <w:rsid w:val="00781AB2"/>
    <w:rsid w:val="009E18C9"/>
    <w:rsid w:val="009F7B4E"/>
    <w:rsid w:val="00BB361B"/>
    <w:rsid w:val="00C33B78"/>
    <w:rsid w:val="00C674D7"/>
    <w:rsid w:val="00C96F9A"/>
    <w:rsid w:val="00D16C99"/>
    <w:rsid w:val="00EE31DD"/>
    <w:rsid w:val="11C750BA"/>
    <w:rsid w:val="24A36145"/>
    <w:rsid w:val="4CB034A5"/>
    <w:rsid w:val="6E5B2B6E"/>
    <w:rsid w:val="6F371E6A"/>
    <w:rsid w:val="7262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样式1 Char"/>
    <w:link w:val="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样式1"/>
    <w:basedOn w:val="1"/>
    <w:link w:val="7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9">
    <w:name w:val="Placeholder Text"/>
    <w:semiHidden/>
    <w:uiPriority w:val="99"/>
    <w:rPr>
      <w:color w:val="808080"/>
    </w:rPr>
  </w:style>
  <w:style w:type="character" w:customStyle="1" w:styleId="10">
    <w:name w:val="页脚 字符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眉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2019-07-22T00:45:00Z</dcterms:created>
  <dc:creator>之之</dc:creator>
  <cp:lastModifiedBy>vertesyuan</cp:lastModifiedBy>
  <dcterms:modified xsi:type="dcterms:W3CDTF">2022-09-15T11:35:49Z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6FB500E601834A88B5E190567C472775</vt:lpwstr>
  </property>
</Properties>
</file>