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202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年硕士研究生入学考试初试自命题科目考试大纲</w:t>
      </w:r>
    </w:p>
    <w:tbl>
      <w:tblPr>
        <w:tblStyle w:val="5"/>
        <w:tblpPr w:leftFromText="180" w:rightFromText="180" w:vertAnchor="page" w:horzAnchor="page" w:tblpX="1781" w:tblpY="18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00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科目代码、科目名称:</w:t>
            </w:r>
          </w:p>
        </w:tc>
        <w:tc>
          <w:tcPr>
            <w:tcW w:w="616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 w:firstLine="211" w:firstLineChars="10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国际商务专业基础 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364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一、基本内容</w:t>
            </w:r>
          </w:p>
          <w:p>
            <w:pPr>
              <w:spacing w:line="360" w:lineRule="auto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（一）国际贸易理论与政策</w:t>
            </w:r>
          </w:p>
          <w:p>
            <w:pPr>
              <w:spacing w:line="360" w:lineRule="auto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国际贸易理论：绝对优势与比较优势理论、要素禀赋理论、贸易保护理论、国际贸易新理论、国家竞争优势</w:t>
            </w:r>
          </w:p>
          <w:p>
            <w:pPr>
              <w:spacing w:line="360" w:lineRule="auto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国际贸易政策与壁垒：关税措施、非关税壁垒、国际贸易摩擦、国际贸易中的知识产权保护与环境保护政策</w:t>
            </w:r>
          </w:p>
          <w:p>
            <w:pPr>
              <w:spacing w:line="360" w:lineRule="auto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区域经济一体化与多边贸易体制：经济全球化与世界贸易组织、欧洲一体化实践、其他区域自由贸易安排、中国的区域经济合作实践</w:t>
            </w: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 </w:t>
            </w:r>
          </w:p>
          <w:p>
            <w:pPr>
              <w:spacing w:line="360" w:lineRule="auto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（二）国际直接投资与跨国公司</w:t>
            </w:r>
          </w:p>
          <w:p>
            <w:pPr>
              <w:spacing w:line="360" w:lineRule="auto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国际直接投资与跨国公司理论：垄断优势理论、内部化理论、国际生产折衷理论、对外投资其他理论，</w:t>
            </w: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跨国公司与国际直接投资理论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，中国式跨国公司的理论与实践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hint="eastAsia" w:ascii="楷体" w:hAnsi="楷体" w:eastAsia="楷体" w:cs="Times New Roman"/>
                <w:color w:val="333333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2.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对外直接投资的母国与东道国效应：</w:t>
            </w:r>
            <w:r>
              <w:rPr>
                <w:rFonts w:hint="eastAsia" w:ascii="楷体" w:hAnsi="楷体" w:eastAsia="楷体" w:cs="Times New Roman"/>
                <w:color w:val="333333"/>
                <w:kern w:val="2"/>
                <w:sz w:val="21"/>
                <w:szCs w:val="21"/>
                <w:shd w:val="clear" w:color="auto" w:fill="FFFFFF"/>
              </w:rPr>
              <w:t>对外直接投资与母国利益和代价、对外直接投资与东道国效应、对外直接投资中的政府行为、国际企业与政府的议价能力</w:t>
            </w:r>
          </w:p>
          <w:p>
            <w:pPr>
              <w:spacing w:line="360" w:lineRule="auto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（三）国际金融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国际货币体系与汇率制度：金本位制度、布雷顿森林体系、浮动汇率制度、国际货币体系及其改革、人民币汇率改革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.外汇市场、外汇业务与风险、外汇市场与外汇业务、汇率决定、外汇风险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.国际金融市场：国际金融市场概述、货币市场、债权市场、股权市场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121212"/>
                <w:sz w:val="21"/>
                <w:szCs w:val="21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（四）国际商务环境与运营</w:t>
            </w:r>
          </w:p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</w:rPr>
              <w:t>1</w:t>
            </w:r>
            <w:r>
              <w:rPr>
                <w:rFonts w:ascii="楷体" w:hAnsi="楷体" w:eastAsia="楷体"/>
                <w:color w:val="333333"/>
                <w:sz w:val="21"/>
                <w:szCs w:val="21"/>
              </w:rPr>
              <w:t>.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</w:rPr>
              <w:t>国际商务环境：经济环境、政治环境、法律环境、社会文化环境、国际商务环境评估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</w:rPr>
              <w:t>2</w:t>
            </w:r>
            <w:r>
              <w:rPr>
                <w:rFonts w:ascii="楷体" w:hAnsi="楷体" w:eastAsia="楷体"/>
                <w:color w:val="333333"/>
                <w:sz w:val="21"/>
                <w:szCs w:val="21"/>
              </w:rPr>
              <w:t>.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</w:rPr>
              <w:t>国际商务进入策略：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国际经营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</w:rPr>
              <w:t>的选址决策，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国际经营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</w:rPr>
              <w:t>的时机决策，出口、交钥匙工程、技术授权、特许经营、对外直接投资，战略联盟，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国际经营方式的选择</w:t>
            </w:r>
          </w:p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</w:rPr>
              <w:t>3</w:t>
            </w:r>
            <w:r>
              <w:rPr>
                <w:rFonts w:ascii="楷体" w:hAnsi="楷体" w:eastAsia="楷体"/>
                <w:color w:val="333333"/>
                <w:sz w:val="21"/>
                <w:szCs w:val="21"/>
              </w:rPr>
              <w:t>.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</w:rPr>
              <w:t>跨国公司战略与组织：企业利用全球扩张提高盈利能力以及利润增长的方式，战略选择与战略演化，组织结构的基本类型，国际商务组织结构的选择，国际企业的控制、组织文化，战略与组织构架</w:t>
            </w:r>
          </w:p>
          <w:p>
            <w:pPr>
              <w:pStyle w:val="9"/>
              <w:spacing w:before="0" w:beforeAutospacing="0" w:after="0" w:afterAutospacing="0" w:line="360" w:lineRule="auto"/>
              <w:jc w:val="both"/>
              <w:rPr>
                <w:rFonts w:hint="eastAsia"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</w:rPr>
              <w:t>4</w:t>
            </w:r>
            <w:r>
              <w:rPr>
                <w:rFonts w:ascii="楷体" w:hAnsi="楷体" w:eastAsia="楷体"/>
                <w:color w:val="333333"/>
                <w:sz w:val="21"/>
                <w:szCs w:val="21"/>
              </w:rPr>
              <w:t>.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</w:rPr>
              <w:t>国际经营管理：国际市场营销管理，国际财务管理，国际人力资源管理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</w:trPr>
        <w:tc>
          <w:tcPr>
            <w:tcW w:w="8364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二、考试要求（包括题型、分数比例等）</w:t>
            </w:r>
          </w:p>
          <w:p>
            <w:pPr>
              <w:spacing w:line="360" w:lineRule="auto"/>
              <w:jc w:val="left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1.名词解释（共</w:t>
            </w: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题，每题5分，共计</w:t>
            </w: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25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分）</w:t>
            </w:r>
          </w:p>
          <w:p>
            <w:pPr>
              <w:spacing w:line="360" w:lineRule="auto"/>
              <w:jc w:val="left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2.简答题（共5题，每题</w:t>
            </w: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分，共计</w:t>
            </w: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40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分）</w:t>
            </w:r>
          </w:p>
          <w:p>
            <w:pPr>
              <w:spacing w:line="360" w:lineRule="auto"/>
              <w:jc w:val="left"/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3.论述题（共</w:t>
            </w: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题，每题</w:t>
            </w:r>
            <w:r>
              <w:rPr>
                <w:rFonts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分，共计60分）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333333"/>
                <w:sz w:val="21"/>
                <w:szCs w:val="21"/>
                <w:shd w:val="clear" w:color="auto" w:fill="FFFFFF"/>
              </w:rPr>
              <w:t>4.案例分析题（共1题，每题25分，共计25分）</w:t>
            </w:r>
          </w:p>
        </w:tc>
      </w:tr>
    </w:tbl>
    <w:p>
      <w:pPr>
        <w:spacing w:line="400" w:lineRule="exact"/>
        <w:jc w:val="center"/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TY3NzkyMjNmNDM3NDY1MWQzMmYyNzMzY2VhNzAifQ=="/>
  </w:docVars>
  <w:rsids>
    <w:rsidRoot w:val="00377559"/>
    <w:rsid w:val="000E114C"/>
    <w:rsid w:val="00377559"/>
    <w:rsid w:val="00390E50"/>
    <w:rsid w:val="00410603"/>
    <w:rsid w:val="004159BB"/>
    <w:rsid w:val="006858F1"/>
    <w:rsid w:val="00801502"/>
    <w:rsid w:val="00935767"/>
    <w:rsid w:val="00AD7851"/>
    <w:rsid w:val="00B73E59"/>
    <w:rsid w:val="00D870C2"/>
    <w:rsid w:val="00DA7865"/>
    <w:rsid w:val="00DE155E"/>
    <w:rsid w:val="00EF657D"/>
    <w:rsid w:val="00F47BBD"/>
    <w:rsid w:val="00F93EE1"/>
    <w:rsid w:val="11DF2CDB"/>
    <w:rsid w:val="224A7EF0"/>
    <w:rsid w:val="454D7129"/>
    <w:rsid w:val="669D7109"/>
    <w:rsid w:val="694A1040"/>
    <w:rsid w:val="6DB755CD"/>
    <w:rsid w:val="6E404B93"/>
    <w:rsid w:val="70B64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7">
    <w:name w:val="页脚 字符"/>
    <w:link w:val="2"/>
    <w:uiPriority w:val="0"/>
    <w:rPr>
      <w:rFonts w:ascii="Times New Roman" w:hAnsi="Times New Roman" w:eastAsia="楷体_GB2312"/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rFonts w:ascii="Times New Roman" w:hAnsi="Times New Roman" w:eastAsia="楷体_GB2312"/>
      <w:kern w:val="2"/>
      <w:sz w:val="18"/>
      <w:szCs w:val="18"/>
    </w:rPr>
  </w:style>
  <w:style w:type="paragraph" w:customStyle="1" w:styleId="9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831</Words>
  <Characters>858</Characters>
  <Lines>6</Lines>
  <Paragraphs>1</Paragraphs>
  <TotalTime>0</TotalTime>
  <ScaleCrop>false</ScaleCrop>
  <LinksUpToDate>false</LinksUpToDate>
  <CharactersWithSpaces>860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2020-09-13T05:01:00Z</dcterms:created>
  <dc:creator>Lenovo</dc:creator>
  <cp:lastModifiedBy>vertesyuan</cp:lastModifiedBy>
  <dcterms:modified xsi:type="dcterms:W3CDTF">2022-09-17T12:21:53Z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A5808F428B3B47D095C37583DA9DA3C9</vt:lpwstr>
  </property>
</Properties>
</file>