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年硕士研究生入学考试初试自命题科目考试大纲</w:t>
      </w:r>
    </w:p>
    <w:tbl>
      <w:tblPr>
        <w:tblStyle w:val="4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2200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 w:firstLine="211" w:firstLineChars="1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828制药工艺学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一、基本内容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绪论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世界制药工业的现状和发展趋势、我国医药工业的现状和发展前景、药品管理与质量控制法律法规。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药物合成工艺路线的设计与选择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权宜路线与优化路线、优化路线的研究对象、逆合成分析法、模拟类推法、工艺路线的评价标准、工艺路线的选择。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影响化学反应的因素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化学反应过程、反应物浓度和配料比的确定、常用溶剂的性质和分类、反应溶剂的作用与选择、后处理溶剂的选择、催化剂与催化作用、酸碱催化剂、金属催化剂、生物催化剂、相转移催化剂。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化学合成工艺优化研究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艺优化的前提条件、工艺优化的基本思路、加料顺序和投料方法、反应温度、反应压力、搅拌与搅拌方式、反应时间、催化剂的选择、催化剂的活化和分解、催化剂后处理、工艺过程控制、均匀设计及优化方法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化学反应后处理及产物纯化方法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反应后处理与产物纯化的基本思路、药物的纯度与杂质、反应后处理的基本方法、产物纯化方法、终产物的稳定性与纯度。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 xml:space="preserve">. </w:t>
            </w:r>
            <w:r>
              <w:rPr>
                <w:rFonts w:hint="eastAsia"/>
                <w:bCs/>
                <w:sz w:val="21"/>
                <w:szCs w:val="21"/>
              </w:rPr>
              <w:t>手性药物技术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手性及其标记、手性化合物的立体异构体、手性药物活性、化学法制备手性药物、生物酶法制备手性药物。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 xml:space="preserve">. </w:t>
            </w:r>
            <w:r>
              <w:rPr>
                <w:rFonts w:hint="eastAsia"/>
                <w:bCs/>
                <w:sz w:val="21"/>
                <w:szCs w:val="21"/>
              </w:rPr>
              <w:t>反应器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反应器的分类和结构特点、搅拌釜的设计与分析。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. </w:t>
            </w:r>
            <w:r>
              <w:rPr>
                <w:rFonts w:hint="eastAsia"/>
                <w:bCs/>
                <w:sz w:val="21"/>
                <w:szCs w:val="21"/>
              </w:rPr>
              <w:t>制药工艺计算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制药工艺设计图、物料衡算的理论基础、物料平衡计算的基本方法和步骤、能量衡算、制药工艺经济性评价。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. </w:t>
            </w:r>
            <w:r>
              <w:rPr>
                <w:rFonts w:hint="eastAsia"/>
                <w:bCs/>
                <w:sz w:val="21"/>
                <w:szCs w:val="21"/>
              </w:rPr>
              <w:t>制药工艺放大研究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中试放大的概念、工业化制药对工艺的要求、影响中试的因素、中试放大的研究方法、中试放大的研究内容、制定生产工艺规程。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 xml:space="preserve">0. </w:t>
            </w:r>
            <w:r>
              <w:rPr>
                <w:rFonts w:hint="eastAsia"/>
                <w:bCs/>
                <w:sz w:val="21"/>
                <w:szCs w:val="21"/>
              </w:rPr>
              <w:t>药品生产质量管理与控制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药品质量管理、药品质量控制、工艺说明书的基本内容、工艺流程设计、G</w:t>
            </w:r>
            <w:r>
              <w:rPr>
                <w:bCs/>
                <w:sz w:val="21"/>
                <w:szCs w:val="21"/>
              </w:rPr>
              <w:t>MP</w:t>
            </w:r>
            <w:r>
              <w:rPr>
                <w:rFonts w:hint="eastAsia"/>
                <w:bCs/>
                <w:sz w:val="21"/>
                <w:szCs w:val="21"/>
              </w:rPr>
              <w:t>、原料药G</w:t>
            </w:r>
            <w:r>
              <w:rPr>
                <w:bCs/>
                <w:sz w:val="21"/>
                <w:szCs w:val="21"/>
              </w:rPr>
              <w:t>MP</w:t>
            </w:r>
            <w:r>
              <w:rPr>
                <w:rFonts w:hint="eastAsia"/>
                <w:bCs/>
                <w:sz w:val="21"/>
                <w:szCs w:val="21"/>
              </w:rPr>
              <w:t>规定、制剂G</w:t>
            </w:r>
            <w:r>
              <w:rPr>
                <w:bCs/>
                <w:sz w:val="21"/>
                <w:szCs w:val="21"/>
              </w:rPr>
              <w:t>MP</w:t>
            </w:r>
            <w:r>
              <w:rPr>
                <w:rFonts w:hint="eastAsia"/>
                <w:bCs/>
                <w:sz w:val="21"/>
                <w:szCs w:val="21"/>
              </w:rPr>
              <w:t>规定、</w:t>
            </w:r>
            <w:r>
              <w:rPr>
                <w:bCs/>
                <w:sz w:val="21"/>
                <w:szCs w:val="21"/>
              </w:rPr>
              <w:t>GMP</w:t>
            </w:r>
            <w:r>
              <w:rPr>
                <w:rFonts w:hint="eastAsia"/>
                <w:bCs/>
                <w:sz w:val="21"/>
                <w:szCs w:val="21"/>
              </w:rPr>
              <w:t>与空气洁净技术。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 xml:space="preserve">1. </w:t>
            </w:r>
            <w:r>
              <w:rPr>
                <w:rFonts w:hint="eastAsia"/>
                <w:bCs/>
                <w:sz w:val="21"/>
                <w:szCs w:val="21"/>
              </w:rPr>
              <w:t>安全生产与环境保护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安全生产和环境保护的重要性、我国安全生产和环境保护的方针政策、安全生产的主要措施、防止污染的主要措施、废水的处理、废气的处理、废渣的处理。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12. </w:t>
            </w:r>
            <w:r>
              <w:rPr>
                <w:rFonts w:hint="eastAsia"/>
                <w:bCs/>
                <w:sz w:val="21"/>
                <w:szCs w:val="21"/>
              </w:rPr>
              <w:t>氯霉素生产工艺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合成路线及其选择、氯霉素中间体1的生产工艺原理及其过程、氯霉素中间体</w:t>
            </w: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的生产工艺原理及其过程、氯霉素的生产工艺原理及其过程、氯霉素合成工艺中的安全生产与环境保护。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 xml:space="preserve">3. </w:t>
            </w:r>
            <w:r>
              <w:rPr>
                <w:rFonts w:hint="eastAsia"/>
                <w:bCs/>
                <w:sz w:val="21"/>
                <w:szCs w:val="21"/>
              </w:rPr>
              <w:t>塞莱昔布生产工艺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合成路线及其选择、生产工艺原理及其过程、原辅材料的制备、综合利用、“三废”处理与安全生产。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 xml:space="preserve">4. </w:t>
            </w:r>
            <w:r>
              <w:rPr>
                <w:rFonts w:hint="eastAsia"/>
                <w:bCs/>
                <w:sz w:val="21"/>
                <w:szCs w:val="21"/>
              </w:rPr>
              <w:t>奥美拉唑生产工艺</w:t>
            </w: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合成路线、工艺过程控制、“三废”处理与安全生产。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题型包括：名词解释、简答题、综合论述题三种。其中，名词解释约占3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分，简答题约占</w:t>
            </w:r>
            <w:r>
              <w:rPr>
                <w:bCs/>
                <w:sz w:val="21"/>
                <w:szCs w:val="21"/>
              </w:rPr>
              <w:t>45</w:t>
            </w:r>
            <w:r>
              <w:rPr>
                <w:rFonts w:hint="eastAsia"/>
                <w:bCs/>
                <w:sz w:val="21"/>
                <w:szCs w:val="21"/>
              </w:rPr>
              <w:t>分，综合论述题约占</w:t>
            </w:r>
            <w:r>
              <w:rPr>
                <w:bCs/>
                <w:sz w:val="21"/>
                <w:szCs w:val="21"/>
              </w:rPr>
              <w:t>75</w:t>
            </w:r>
            <w:r>
              <w:rPr>
                <w:rFonts w:hint="eastAsia"/>
                <w:bCs/>
                <w:sz w:val="21"/>
                <w:szCs w:val="21"/>
              </w:rPr>
              <w:t>分，合计1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分。</w:t>
            </w:r>
          </w:p>
          <w:p>
            <w:pPr>
              <w:ind w:firstLine="420"/>
              <w:jc w:val="left"/>
              <w:rPr>
                <w:bCs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考试形式：笔试，考试时间为三小时（满分150分）。</w:t>
            </w:r>
          </w:p>
        </w:tc>
      </w:tr>
    </w:tbl>
    <w:p>
      <w:pPr>
        <w:spacing w:line="400" w:lineRule="exact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6"/>
    <w:rsid w:val="00096B4F"/>
    <w:rsid w:val="001107FD"/>
    <w:rsid w:val="001521E7"/>
    <w:rsid w:val="00294C56"/>
    <w:rsid w:val="00462EA6"/>
    <w:rsid w:val="00474513"/>
    <w:rsid w:val="005F7B84"/>
    <w:rsid w:val="00723FDA"/>
    <w:rsid w:val="00740E5A"/>
    <w:rsid w:val="00A7417D"/>
    <w:rsid w:val="00E5490F"/>
    <w:rsid w:val="01386C70"/>
    <w:rsid w:val="04604A1A"/>
    <w:rsid w:val="11DF2CDB"/>
    <w:rsid w:val="134C35FE"/>
    <w:rsid w:val="195C11E6"/>
    <w:rsid w:val="224A7EF0"/>
    <w:rsid w:val="28D710A8"/>
    <w:rsid w:val="302E0061"/>
    <w:rsid w:val="454D7129"/>
    <w:rsid w:val="4D1760E0"/>
    <w:rsid w:val="50807738"/>
    <w:rsid w:val="63523835"/>
    <w:rsid w:val="669D7109"/>
    <w:rsid w:val="6DB755CD"/>
    <w:rsid w:val="6F0F1B25"/>
    <w:rsid w:val="7A9B7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eastAsia="楷体_GB2312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eastAsia="楷体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2020-09-13T05:01:00Z</dcterms:created>
  <dc:creator>Lenovo</dc:creator>
  <cp:lastModifiedBy>vertesyuan</cp:lastModifiedBy>
  <dcterms:modified xsi:type="dcterms:W3CDTF">2022-09-17T12:22:26Z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7ED4189DFCEF4D178D48B293BEFEEE82</vt:lpwstr>
  </property>
</Properties>
</file>