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bookmarkStart w:id="0" w:name="_GoBack"/>
      <w:bookmarkEnd w:id="0"/>
      <w:r>
        <w:rPr>
          <w:rFonts w:hint="eastAsia" w:ascii="宋体" w:hAnsi="宋体"/>
          <w:b/>
          <w:sz w:val="36"/>
          <w:szCs w:val="36"/>
        </w:rPr>
        <w:t>202</w:t>
      </w:r>
      <w:r>
        <w:rPr>
          <w:rFonts w:ascii="宋体" w:hAnsi="宋体"/>
          <w:b/>
          <w:sz w:val="36"/>
          <w:szCs w:val="36"/>
        </w:rPr>
        <w:t>3</w:t>
      </w:r>
      <w:r>
        <w:rPr>
          <w:rFonts w:hint="eastAsia" w:ascii="宋体" w:hAnsi="宋体"/>
          <w:b/>
          <w:sz w:val="36"/>
          <w:szCs w:val="36"/>
        </w:rPr>
        <w:t>年硕士研究生入学考试专业课考试大纲</w:t>
      </w:r>
    </w:p>
    <w:tbl>
      <w:tblPr>
        <w:tblStyle w:val="6"/>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0" w:type="dxa"/>
            <w:noWrap w:val="0"/>
            <w:vAlign w:val="center"/>
          </w:tcPr>
          <w:p>
            <w:pPr>
              <w:rPr>
                <w:rFonts w:hint="eastAsia" w:ascii="宋体" w:hAnsi="宋体"/>
                <w:b/>
                <w:sz w:val="28"/>
                <w:szCs w:val="28"/>
              </w:rPr>
            </w:pPr>
            <w:r>
              <w:rPr>
                <w:rFonts w:hint="eastAsia" w:ascii="宋体" w:hAnsi="宋体"/>
                <w:b/>
                <w:sz w:val="28"/>
                <w:szCs w:val="28"/>
              </w:rPr>
              <w:t>考试科目代码：</w:t>
            </w:r>
            <w:r>
              <w:rPr>
                <w:rFonts w:ascii="宋体" w:hAnsi="宋体"/>
                <w:b/>
                <w:sz w:val="28"/>
                <w:szCs w:val="28"/>
              </w:rPr>
              <w:t>338</w:t>
            </w:r>
          </w:p>
        </w:tc>
        <w:tc>
          <w:tcPr>
            <w:tcW w:w="5040" w:type="dxa"/>
            <w:noWrap w:val="0"/>
            <w:vAlign w:val="center"/>
          </w:tcPr>
          <w:p>
            <w:pPr>
              <w:spacing w:line="360" w:lineRule="auto"/>
              <w:jc w:val="center"/>
              <w:rPr>
                <w:rFonts w:hint="eastAsia" w:ascii="宋体" w:hAnsi="宋体"/>
                <w:b/>
                <w:sz w:val="28"/>
                <w:szCs w:val="28"/>
              </w:rPr>
            </w:pPr>
            <w:r>
              <w:rPr>
                <w:rFonts w:hint="eastAsia" w:ascii="宋体" w:hAnsi="宋体"/>
                <w:b/>
                <w:sz w:val="28"/>
                <w:szCs w:val="28"/>
              </w:rPr>
              <w:t>考试科目名称：生物化学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8640" w:type="dxa"/>
            <w:gridSpan w:val="2"/>
            <w:noWrap w:val="0"/>
            <w:vAlign w:val="center"/>
          </w:tcPr>
          <w:p>
            <w:pPr>
              <w:rPr>
                <w:rFonts w:hint="eastAsia" w:ascii="宋体" w:hAnsi="宋体"/>
                <w:b/>
                <w:sz w:val="24"/>
              </w:rPr>
            </w:pPr>
            <w:r>
              <w:rPr>
                <w:rFonts w:hint="eastAsia" w:ascii="宋体" w:hAnsi="宋体"/>
                <w:b/>
                <w:sz w:val="24"/>
              </w:rPr>
              <w:t>一、考试要求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15" w:hRule="atLeast"/>
        </w:trPr>
        <w:tc>
          <w:tcPr>
            <w:tcW w:w="8640" w:type="dxa"/>
            <w:gridSpan w:val="2"/>
            <w:noWrap w:val="0"/>
            <w:vAlign w:val="top"/>
          </w:tcPr>
          <w:p>
            <w:pPr>
              <w:spacing w:line="360" w:lineRule="auto"/>
              <w:ind w:firstLine="420" w:firstLineChars="200"/>
              <w:rPr>
                <w:rFonts w:hint="eastAsia" w:hAnsi="宋体"/>
                <w:szCs w:val="21"/>
              </w:rPr>
            </w:pPr>
            <w:r>
              <w:rPr>
                <w:rFonts w:hint="eastAsia" w:hAnsi="宋体"/>
                <w:szCs w:val="21"/>
              </w:rPr>
              <w:t xml:space="preserve">生物化学研究生入学考试是为所招收生物与医药专业硕士研究生而实施的具有选拔功能的水平考试。 </w:t>
            </w:r>
            <w:r>
              <w:rPr>
                <w:rFonts w:ascii="PingFangSC-Regular" w:hAnsi="PingFangSC-Regular"/>
                <w:color w:val="333333"/>
                <w:spacing w:val="8"/>
                <w:shd w:val="clear" w:color="auto" w:fill="FFFFFF"/>
              </w:rPr>
              <w:t>考查考生对</w:t>
            </w:r>
            <w:r>
              <w:rPr>
                <w:rFonts w:hint="eastAsia" w:ascii="PingFangSC-Regular" w:hAnsi="PingFangSC-Regular"/>
                <w:color w:val="333333"/>
                <w:spacing w:val="8"/>
                <w:shd w:val="clear" w:color="auto" w:fill="FFFFFF"/>
              </w:rPr>
              <w:t>生物化学的基本概念、基本知识和基本理论的掌握情况，主要包括生物大分子：蛋白质、酶、核酸、糖、脂等的结构、性质、功能和代谢途径。蛋白质、酶、核酸等重要物质的分离、纯化和检测的原理及方法。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trPr>
        <w:tc>
          <w:tcPr>
            <w:tcW w:w="8640" w:type="dxa"/>
            <w:gridSpan w:val="2"/>
            <w:noWrap w:val="0"/>
            <w:vAlign w:val="center"/>
          </w:tcPr>
          <w:p>
            <w:pPr>
              <w:rPr>
                <w:b/>
                <w:sz w:val="24"/>
              </w:rPr>
            </w:pPr>
            <w:r>
              <w:rPr>
                <w:b/>
                <w:sz w:val="24"/>
              </w:rPr>
              <w:t>二、考试内容</w:t>
            </w:r>
          </w:p>
          <w:p>
            <w:pPr>
              <w:rPr>
                <w:b/>
                <w:sz w:val="24"/>
              </w:rPr>
            </w:pPr>
            <w:r>
              <w:rPr>
                <w:b/>
                <w:sz w:val="24"/>
              </w:rPr>
              <w:t>1.</w:t>
            </w:r>
            <w:r>
              <w:rPr>
                <w:color w:val="000000"/>
                <w:shd w:val="clear" w:color="auto" w:fill="FFFFFF"/>
              </w:rPr>
              <w:t xml:space="preserve"> 糖及糖代谢</w:t>
            </w:r>
          </w:p>
          <w:p>
            <w:pPr>
              <w:ind w:firstLine="420" w:firstLineChars="200"/>
              <w:rPr>
                <w:color w:val="000000"/>
                <w:shd w:val="clear" w:color="auto" w:fill="FFFFFF"/>
              </w:rPr>
            </w:pPr>
            <w:r>
              <w:rPr>
                <w:color w:val="000000"/>
                <w:shd w:val="clear" w:color="auto" w:fill="FFFFFF"/>
              </w:rPr>
              <w:t>以葡萄糖为代表的单糖的分子结构、分类、物理化学性质以及一些重要的单糖及其衍生物；寡糖、多糖、结合糖分类和性质。糖类物质在体内的消化、吸收及转运，葡萄糖的降解过程，酵解、三羧酸循环及其它代谢生理意义和途径。</w:t>
            </w:r>
          </w:p>
          <w:p>
            <w:pPr>
              <w:rPr>
                <w:b/>
                <w:sz w:val="24"/>
              </w:rPr>
            </w:pPr>
            <w:r>
              <w:rPr>
                <w:b/>
                <w:sz w:val="24"/>
              </w:rPr>
              <w:t>2、</w:t>
            </w:r>
            <w:r>
              <w:rPr>
                <w:color w:val="000000"/>
                <w:shd w:val="clear" w:color="auto" w:fill="FFFFFF"/>
              </w:rPr>
              <w:t>脂类及脂类代谢</w:t>
            </w:r>
          </w:p>
          <w:p>
            <w:pPr>
              <w:ind w:firstLine="452" w:firstLineChars="200"/>
              <w:rPr>
                <w:color w:val="333333"/>
                <w:spacing w:val="8"/>
                <w:shd w:val="clear" w:color="auto" w:fill="FFFFFF"/>
              </w:rPr>
            </w:pPr>
            <w:r>
              <w:rPr>
                <w:color w:val="333333"/>
                <w:spacing w:val="8"/>
                <w:shd w:val="clear" w:color="auto" w:fill="FFFFFF"/>
              </w:rPr>
              <w:t>以三脂酰甘油为例的脂酰甘油类的组成、类型、物理化学性质以及一些重要的脂酰甘油类化合物；甘油磷脂和鞘氨醇磷脂类的组成和性质；糖脂和脂蛋白的区别以及在医学上的意义。</w:t>
            </w:r>
            <w:r>
              <w:rPr>
                <w:color w:val="000000"/>
                <w:shd w:val="clear" w:color="auto" w:fill="FFFFFF"/>
              </w:rPr>
              <w:t>脂类的消化吸收和转运；脂肪酸和甘油的分解及合成代谢；脂肪的降解β-氧化过程，饱和脂肪酸胞液合成过程。</w:t>
            </w:r>
          </w:p>
          <w:p>
            <w:pPr>
              <w:rPr>
                <w:color w:val="000000"/>
                <w:shd w:val="clear" w:color="auto" w:fill="FFFFFF"/>
              </w:rPr>
            </w:pPr>
            <w:r>
              <w:rPr>
                <w:b/>
                <w:sz w:val="24"/>
              </w:rPr>
              <w:t>3、</w:t>
            </w:r>
            <w:r>
              <w:rPr>
                <w:color w:val="000000"/>
                <w:shd w:val="clear" w:color="auto" w:fill="FFFFFF"/>
              </w:rPr>
              <w:t>蛋白质及氨基酸代谢</w:t>
            </w:r>
          </w:p>
          <w:p>
            <w:pPr>
              <w:ind w:firstLine="452" w:firstLineChars="200"/>
              <w:rPr>
                <w:color w:val="333333"/>
                <w:spacing w:val="8"/>
                <w:shd w:val="clear" w:color="auto" w:fill="FFFFFF"/>
              </w:rPr>
            </w:pPr>
            <w:r>
              <w:rPr>
                <w:color w:val="333333"/>
                <w:spacing w:val="8"/>
                <w:shd w:val="clear" w:color="auto" w:fill="FFFFFF"/>
              </w:rPr>
              <w:t>蛋白质的化学组成、分类、大小、分子量、构象及功能的多样性；氨基酸的来源、分类、物理性质、化学性质及分析分离的方法；肽键的结构、物理化学性质；氨基酸顺序测定的一般步骤及方法；二级结构和三级结构的类型、作用力；蛋白质的物理化学性质、分离纯化的一般原则和方法以及含量的测定与纯度鉴定。</w:t>
            </w:r>
            <w:r>
              <w:rPr>
                <w:color w:val="000000"/>
                <w:shd w:val="clear" w:color="auto" w:fill="FFFFFF"/>
              </w:rPr>
              <w:t>机体对外源蛋白质的需要及其消化作用；氨基酸的脱氨与转氨作用；氨基氮的排泄；氨基酸碳骨架的氧化途径；生糖氨基酸和生酮氨基酸；由氨基酸衍生的其他重要物质。</w:t>
            </w:r>
          </w:p>
          <w:p>
            <w:pPr>
              <w:rPr>
                <w:b/>
                <w:sz w:val="24"/>
              </w:rPr>
            </w:pPr>
            <w:r>
              <w:rPr>
                <w:b/>
                <w:sz w:val="24"/>
              </w:rPr>
              <w:t>4、</w:t>
            </w:r>
            <w:r>
              <w:rPr>
                <w:color w:val="000000"/>
                <w:shd w:val="clear" w:color="auto" w:fill="FFFFFF"/>
              </w:rPr>
              <w:t>酶</w:t>
            </w:r>
          </w:p>
          <w:p>
            <w:pPr>
              <w:ind w:firstLine="420" w:firstLineChars="200"/>
              <w:rPr>
                <w:color w:val="000000"/>
                <w:shd w:val="clear" w:color="auto" w:fill="FFFFFF"/>
              </w:rPr>
            </w:pPr>
            <w:r>
              <w:rPr>
                <w:color w:val="000000"/>
                <w:shd w:val="clear" w:color="auto" w:fill="FFFFFF"/>
              </w:rPr>
              <w:t>酶的化学本质和生物学意义；米氏公式、米氏常数的意义、米氏常数的求法、多种底物的反应、以及pH、温度、酶浓度、激活剂、抑制剂对酶反应速度的影响；底物的专一性和活性中心；酶的作用机理；多酶体系；别构效应的调控；寡聚酶、同工酶及诱导酶；酶工程的定义、分类及应用。</w:t>
            </w:r>
          </w:p>
          <w:p>
            <w:pPr>
              <w:rPr>
                <w:color w:val="000000"/>
                <w:shd w:val="clear" w:color="auto" w:fill="FFFFFF"/>
              </w:rPr>
            </w:pPr>
            <w:r>
              <w:rPr>
                <w:color w:val="000000"/>
                <w:shd w:val="clear" w:color="auto" w:fill="FFFFFF"/>
              </w:rPr>
              <w:t>5、核酸及核苷酸代谢</w:t>
            </w:r>
          </w:p>
          <w:p>
            <w:pPr>
              <w:ind w:firstLine="420" w:firstLineChars="200"/>
              <w:rPr>
                <w:color w:val="000000"/>
                <w:shd w:val="clear" w:color="auto" w:fill="FFFFFF"/>
              </w:rPr>
            </w:pPr>
            <w:r>
              <w:rPr>
                <w:color w:val="000000"/>
                <w:shd w:val="clear" w:color="auto" w:fill="FFFFFF"/>
              </w:rPr>
              <w:t>脱氧核糖核苷酸（DNA）、核糖核苷酸（RNA）的碱基组成、类型、一级结构、空间结构及其生物学功能；核酸的物理化学性质和常用的研究方法。核酸及核苷酸的分解代谢；核苷酸的生物合成及其合成调节。</w:t>
            </w:r>
          </w:p>
          <w:p>
            <w:pPr>
              <w:rPr>
                <w:color w:val="000000"/>
                <w:shd w:val="clear" w:color="auto" w:fill="FFFFFF"/>
              </w:rPr>
            </w:pPr>
            <w:r>
              <w:rPr>
                <w:color w:val="000000"/>
                <w:shd w:val="clear" w:color="auto" w:fill="FFFFFF"/>
              </w:rPr>
              <w:t>6、维生素</w:t>
            </w:r>
          </w:p>
          <w:p>
            <w:pPr>
              <w:ind w:firstLine="420" w:firstLineChars="200"/>
              <w:rPr>
                <w:color w:val="000000"/>
                <w:shd w:val="clear" w:color="auto" w:fill="FFFFFF"/>
              </w:rPr>
            </w:pPr>
            <w:r>
              <w:rPr>
                <w:color w:val="000000"/>
                <w:shd w:val="clear" w:color="auto" w:fill="FFFFFF"/>
              </w:rPr>
              <w:t>维生素的分类、结构、功能及在食品中的来源和族作用。</w:t>
            </w:r>
          </w:p>
          <w:p>
            <w:pPr>
              <w:rPr>
                <w:color w:val="000000"/>
                <w:shd w:val="clear" w:color="auto" w:fill="FFFFFF"/>
              </w:rPr>
            </w:pPr>
            <w:r>
              <w:rPr>
                <w:color w:val="000000"/>
                <w:shd w:val="clear" w:color="auto" w:fill="FFFFFF"/>
              </w:rPr>
              <w:t>7、生物膜的构成与功能</w:t>
            </w:r>
          </w:p>
          <w:p>
            <w:pPr>
              <w:ind w:firstLine="420" w:firstLineChars="200"/>
              <w:rPr>
                <w:color w:val="000000"/>
                <w:shd w:val="clear" w:color="auto" w:fill="FFFFFF"/>
              </w:rPr>
            </w:pPr>
            <w:r>
              <w:rPr>
                <w:color w:val="000000"/>
                <w:shd w:val="clear" w:color="auto" w:fill="FFFFFF"/>
              </w:rPr>
              <w:t>生物膜的组成；膜脂和膜蛋白的流动性；生物膜分子结构的模型；物质运送。</w:t>
            </w:r>
          </w:p>
          <w:p>
            <w:pPr>
              <w:rPr>
                <w:color w:val="000000"/>
                <w:shd w:val="clear" w:color="auto" w:fill="FFFFFF"/>
              </w:rPr>
            </w:pPr>
            <w:r>
              <w:rPr>
                <w:color w:val="000000"/>
                <w:shd w:val="clear" w:color="auto" w:fill="FFFFFF"/>
              </w:rPr>
              <w:t>8、 生物氧化 </w:t>
            </w:r>
          </w:p>
          <w:p>
            <w:pPr>
              <w:ind w:firstLine="420" w:firstLineChars="200"/>
              <w:rPr>
                <w:color w:val="000000"/>
                <w:shd w:val="clear" w:color="auto" w:fill="FFFFFF"/>
              </w:rPr>
            </w:pPr>
            <w:r>
              <w:rPr>
                <w:color w:val="000000"/>
                <w:shd w:val="clear" w:color="auto" w:fill="FFFFFF"/>
              </w:rPr>
              <w:t>代谢研究的具体对象、研究方法、物质代谢和能量代谢的关系、代谢的动态性，高能磷酸化合物的结构以及它们对生物体内各种反应的影响，各种高能磷酸化合物。氧化还原的概念、电子传递过程和氧化呼吸链、氧化磷酸化作用以及它们之间的相互关系。</w:t>
            </w:r>
          </w:p>
          <w:p>
            <w:pPr>
              <w:ind w:firstLine="420" w:firstLineChars="200"/>
              <w:rPr>
                <w:color w:val="000000"/>
                <w:shd w:val="clear" w:color="auto" w:fill="FFFFFF"/>
              </w:rPr>
            </w:pPr>
            <w:r>
              <w:rPr>
                <w:color w:val="000000"/>
                <w:shd w:val="clear" w:color="auto" w:fill="FFFFFF"/>
              </w:rPr>
              <w:t>9、DNA复制和RNA的合成 </w:t>
            </w:r>
          </w:p>
          <w:p>
            <w:pPr>
              <w:ind w:firstLine="420" w:firstLineChars="200"/>
              <w:rPr>
                <w:color w:val="000000"/>
                <w:shd w:val="clear" w:color="auto" w:fill="FFFFFF"/>
              </w:rPr>
            </w:pPr>
            <w:r>
              <w:rPr>
                <w:color w:val="000000"/>
                <w:shd w:val="clear" w:color="auto" w:fill="FFFFFF"/>
              </w:rPr>
              <w:t>DNA的复制原理及调控；DNA的损伤及修复以及意义；生物遗传的中心法则，转录、逆转录；RNA的复制及其生物合成抑制剂。</w:t>
            </w:r>
          </w:p>
          <w:p>
            <w:pPr>
              <w:ind w:firstLine="420" w:firstLineChars="200"/>
              <w:rPr>
                <w:color w:val="000000"/>
                <w:shd w:val="clear" w:color="auto" w:fill="FFFFFF"/>
              </w:rPr>
            </w:pPr>
            <w:r>
              <w:rPr>
                <w:color w:val="000000"/>
                <w:shd w:val="clear" w:color="auto" w:fill="FFFFFF"/>
              </w:rPr>
              <w:t>10、蛋白质的生物合成</w:t>
            </w:r>
          </w:p>
          <w:p>
            <w:pPr>
              <w:ind w:firstLine="420" w:firstLineChars="200"/>
              <w:rPr>
                <w:color w:val="000000"/>
                <w:shd w:val="clear" w:color="auto" w:fill="FFFFFF"/>
              </w:rPr>
            </w:pPr>
            <w:r>
              <w:rPr>
                <w:color w:val="000000"/>
                <w:shd w:val="clear" w:color="auto" w:fill="FFFFFF"/>
              </w:rPr>
              <w:t>遗传密码性质，各种RNA在蛋白质合成过程中的功能；蛋白质合成的机理、合成过程；多肽在合成后的定向输送与转译后加工。</w:t>
            </w:r>
          </w:p>
          <w:p>
            <w:pPr>
              <w:ind w:firstLine="420" w:firstLineChars="200"/>
              <w:rPr>
                <w:color w:val="000000"/>
                <w:shd w:val="clear" w:color="auto" w:fill="FFFFFF"/>
              </w:rPr>
            </w:pPr>
            <w:r>
              <w:rPr>
                <w:color w:val="000000"/>
                <w:shd w:val="clear" w:color="auto" w:fill="FFFFFF"/>
              </w:rPr>
              <w:t>11、 代谢的调节与控制</w:t>
            </w:r>
          </w:p>
          <w:p>
            <w:pPr>
              <w:ind w:firstLine="420" w:firstLineChars="200"/>
              <w:rPr>
                <w:rFonts w:hint="eastAsia" w:ascii="宋体" w:hAnsi="宋体"/>
                <w:b/>
                <w:sz w:val="24"/>
              </w:rPr>
            </w:pPr>
            <w:r>
              <w:rPr>
                <w:color w:val="000000"/>
                <w:shd w:val="clear" w:color="auto" w:fill="FFFFFF"/>
              </w:rPr>
              <w:t>代谢途径的相互联系；酶活性的调节；酶的诱导；酶的阻遏；反馈抑制；反馈阻遏；葡萄糖效应；巴斯德效应。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8640" w:type="dxa"/>
            <w:gridSpan w:val="2"/>
            <w:noWrap w:val="0"/>
            <w:vAlign w:val="center"/>
          </w:tcPr>
          <w:p>
            <w:pPr>
              <w:rPr>
                <w:rFonts w:hint="eastAsia" w:ascii="宋体" w:hAnsi="宋体"/>
                <w:b/>
              </w:rPr>
            </w:pPr>
            <w:r>
              <w:rPr>
                <w:rFonts w:hint="eastAsia" w:ascii="宋体" w:hAnsi="宋体"/>
                <w:b/>
                <w:sz w:val="24"/>
              </w:rPr>
              <w:t>三、题型结构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8640" w:type="dxa"/>
            <w:gridSpan w:val="2"/>
            <w:noWrap w:val="0"/>
            <w:vAlign w:val="top"/>
          </w:tcPr>
          <w:p>
            <w:pPr>
              <w:spacing w:line="400" w:lineRule="exact"/>
              <w:rPr>
                <w:rFonts w:hint="eastAsia" w:ascii="宋体" w:hAnsi="宋体"/>
                <w:szCs w:val="21"/>
              </w:rPr>
            </w:pPr>
            <w:r>
              <w:rPr>
                <w:rFonts w:hint="eastAsia" w:ascii="宋体" w:hAnsi="宋体"/>
                <w:szCs w:val="21"/>
              </w:rPr>
              <w:t>1、名词解释</w:t>
            </w:r>
            <w:r>
              <w:rPr>
                <w:rFonts w:ascii="宋体" w:hAnsi="宋体"/>
                <w:szCs w:val="21"/>
              </w:rPr>
              <w:t>（共20题，每题</w:t>
            </w:r>
            <w:r>
              <w:rPr>
                <w:rFonts w:hint="eastAsia" w:ascii="宋体" w:hAnsi="宋体"/>
                <w:szCs w:val="21"/>
              </w:rPr>
              <w:t>2</w:t>
            </w:r>
            <w:r>
              <w:rPr>
                <w:rFonts w:ascii="宋体" w:hAnsi="宋体"/>
                <w:szCs w:val="21"/>
              </w:rPr>
              <w:t>分，共40分）</w:t>
            </w:r>
          </w:p>
          <w:p>
            <w:pPr>
              <w:spacing w:line="400" w:lineRule="exact"/>
              <w:rPr>
                <w:rFonts w:hint="eastAsia" w:ascii="宋体" w:hAnsi="宋体"/>
                <w:szCs w:val="21"/>
              </w:rPr>
            </w:pPr>
            <w:r>
              <w:rPr>
                <w:rFonts w:hint="eastAsia" w:ascii="宋体" w:hAnsi="宋体"/>
                <w:szCs w:val="21"/>
              </w:rPr>
              <w:t>4、</w:t>
            </w:r>
            <w:r>
              <w:rPr>
                <w:rFonts w:ascii="宋体" w:hAnsi="宋体"/>
                <w:szCs w:val="21"/>
              </w:rPr>
              <w:t>简答</w:t>
            </w:r>
            <w:r>
              <w:rPr>
                <w:rFonts w:hint="eastAsia" w:ascii="宋体" w:hAnsi="宋体"/>
                <w:szCs w:val="21"/>
              </w:rPr>
              <w:t>题</w:t>
            </w:r>
            <w:r>
              <w:rPr>
                <w:rFonts w:ascii="宋体" w:hAnsi="宋体"/>
                <w:szCs w:val="21"/>
              </w:rPr>
              <w:t>（共10题，每题5分，共50分）</w:t>
            </w:r>
          </w:p>
          <w:p>
            <w:pPr>
              <w:spacing w:line="400" w:lineRule="exact"/>
              <w:rPr>
                <w:rFonts w:hint="eastAsia" w:ascii="宋体" w:hAnsi="宋体"/>
                <w:szCs w:val="21"/>
              </w:rPr>
            </w:pPr>
            <w:r>
              <w:rPr>
                <w:rFonts w:hint="eastAsia" w:ascii="宋体" w:hAnsi="宋体"/>
                <w:szCs w:val="21"/>
              </w:rPr>
              <w:t>5、综合性答题</w:t>
            </w:r>
            <w:r>
              <w:rPr>
                <w:rFonts w:ascii="宋体" w:hAnsi="宋体"/>
                <w:szCs w:val="21"/>
              </w:rPr>
              <w:t>（共</w:t>
            </w:r>
            <w:r>
              <w:rPr>
                <w:rFonts w:hint="eastAsia" w:ascii="宋体" w:hAnsi="宋体"/>
                <w:szCs w:val="21"/>
              </w:rPr>
              <w:t>4</w:t>
            </w:r>
            <w:r>
              <w:rPr>
                <w:rFonts w:ascii="宋体" w:hAnsi="宋体"/>
                <w:szCs w:val="21"/>
              </w:rPr>
              <w:t>题，每题15分，共60分）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8640" w:type="dxa"/>
            <w:gridSpan w:val="2"/>
            <w:noWrap w:val="0"/>
            <w:vAlign w:val="center"/>
          </w:tcPr>
          <w:p>
            <w:pPr>
              <w:rPr>
                <w:rFonts w:hint="eastAsia" w:ascii="宋体" w:hAnsi="宋体"/>
                <w:b/>
              </w:rPr>
            </w:pPr>
            <w:r>
              <w:rPr>
                <w:rFonts w:hint="eastAsia" w:ascii="宋体" w:hAnsi="宋体"/>
                <w:b/>
                <w:sz w:val="24"/>
              </w:rPr>
              <w:t>四、参考书目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7" w:hRule="atLeast"/>
        </w:trPr>
        <w:tc>
          <w:tcPr>
            <w:tcW w:w="8640" w:type="dxa"/>
            <w:gridSpan w:val="2"/>
            <w:noWrap w:val="0"/>
            <w:vAlign w:val="top"/>
          </w:tcPr>
          <w:p>
            <w:pPr>
              <w:tabs>
                <w:tab w:val="center" w:pos="3798"/>
              </w:tabs>
              <w:spacing w:before="31" w:beforeLines="10" w:after="31" w:afterLines="10" w:line="300" w:lineRule="auto"/>
              <w:ind w:left="315" w:hanging="315" w:hangingChars="150"/>
              <w:rPr>
                <w:rFonts w:hint="eastAsia" w:ascii="宋体" w:hAnsi="宋体"/>
                <w:kern w:val="0"/>
                <w:szCs w:val="21"/>
              </w:rPr>
            </w:pPr>
            <w:r>
              <w:rPr>
                <w:rFonts w:hint="eastAsia" w:ascii="宋体" w:hAnsi="宋体"/>
                <w:kern w:val="0"/>
                <w:szCs w:val="21"/>
              </w:rPr>
              <w:t>1. 《生物化学》 第四版，王镜岩等主编，高等教育出版社，2</w:t>
            </w:r>
            <w:r>
              <w:rPr>
                <w:rFonts w:ascii="宋体" w:hAnsi="宋体"/>
                <w:kern w:val="0"/>
                <w:szCs w:val="21"/>
              </w:rPr>
              <w:t>017</w:t>
            </w:r>
            <w:r>
              <w:rPr>
                <w:rFonts w:hint="eastAsia" w:ascii="宋体" w:hAnsi="宋体"/>
                <w:kern w:val="0"/>
                <w:szCs w:val="21"/>
              </w:rPr>
              <w:t>年；</w:t>
            </w:r>
          </w:p>
          <w:p>
            <w:pPr>
              <w:tabs>
                <w:tab w:val="center" w:pos="3798"/>
              </w:tabs>
              <w:spacing w:before="31" w:beforeLines="10" w:after="31" w:afterLines="10" w:line="300" w:lineRule="auto"/>
              <w:ind w:left="315" w:hanging="315" w:hangingChars="150"/>
              <w:rPr>
                <w:rFonts w:hint="eastAsia" w:ascii="宋体" w:hAnsi="宋体"/>
                <w:kern w:val="0"/>
                <w:szCs w:val="21"/>
              </w:rPr>
            </w:pPr>
            <w:r>
              <w:rPr>
                <w:rFonts w:hint="eastAsia" w:ascii="宋体" w:hAnsi="宋体"/>
                <w:kern w:val="0"/>
                <w:szCs w:val="21"/>
              </w:rPr>
              <w:t>2.《生物化学简明教程》（第6版），魏民等主编，高等教育出版社，20</w:t>
            </w:r>
            <w:r>
              <w:rPr>
                <w:rFonts w:ascii="宋体" w:hAnsi="宋体"/>
                <w:kern w:val="0"/>
                <w:szCs w:val="21"/>
              </w:rPr>
              <w:t>21</w:t>
            </w:r>
            <w:r>
              <w:rPr>
                <w:rFonts w:hint="eastAsia" w:ascii="宋体" w:hAnsi="宋体"/>
                <w:kern w:val="0"/>
                <w:szCs w:val="21"/>
              </w:rPr>
              <w:t>年；</w:t>
            </w:r>
          </w:p>
          <w:p>
            <w:pPr>
              <w:tabs>
                <w:tab w:val="center" w:pos="3798"/>
              </w:tabs>
              <w:spacing w:before="31" w:beforeLines="10" w:after="31" w:afterLines="10" w:line="300" w:lineRule="auto"/>
              <w:ind w:left="315" w:hanging="315" w:hangingChars="150"/>
              <w:rPr>
                <w:rFonts w:hint="eastAsia" w:ascii="宋体" w:hAnsi="宋体"/>
                <w:kern w:val="0"/>
                <w:szCs w:val="21"/>
              </w:rPr>
            </w:pPr>
            <w:r>
              <w:rPr>
                <w:rFonts w:hint="eastAsia" w:ascii="宋体" w:hAnsi="宋体"/>
                <w:kern w:val="0"/>
                <w:szCs w:val="21"/>
              </w:rPr>
              <w:t>3.《食品生物化学》，于国萍等主编，科学出版社，20</w:t>
            </w:r>
            <w:r>
              <w:rPr>
                <w:rFonts w:ascii="宋体" w:hAnsi="宋体"/>
                <w:kern w:val="0"/>
                <w:szCs w:val="21"/>
              </w:rPr>
              <w:t>20</w:t>
            </w:r>
            <w:r>
              <w:rPr>
                <w:rFonts w:hint="eastAsia" w:ascii="宋体" w:hAnsi="宋体"/>
                <w:kern w:val="0"/>
                <w:szCs w:val="21"/>
              </w:rPr>
              <w:t>年</w:t>
            </w:r>
          </w:p>
        </w:tc>
      </w:tr>
    </w:tbl>
    <w:p>
      <w:pPr>
        <w:rPr>
          <w:rFonts w:hint="eastAsia"/>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Regular">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YzUwMTVmMWE5NGJmN2NhN2IyYjYyOWJhOTllYTEifQ=="/>
  </w:docVars>
  <w:rsids>
    <w:rsidRoot w:val="008A6CD3"/>
    <w:rsid w:val="000203DF"/>
    <w:rsid w:val="00020CB3"/>
    <w:rsid w:val="00045DC5"/>
    <w:rsid w:val="00051479"/>
    <w:rsid w:val="000936B3"/>
    <w:rsid w:val="00094685"/>
    <w:rsid w:val="000B0169"/>
    <w:rsid w:val="000C4986"/>
    <w:rsid w:val="000C7192"/>
    <w:rsid w:val="000D0E0F"/>
    <w:rsid w:val="000E17B2"/>
    <w:rsid w:val="00160C08"/>
    <w:rsid w:val="00181F75"/>
    <w:rsid w:val="00184F1A"/>
    <w:rsid w:val="001A7686"/>
    <w:rsid w:val="001C4729"/>
    <w:rsid w:val="001D6966"/>
    <w:rsid w:val="002200B3"/>
    <w:rsid w:val="00252094"/>
    <w:rsid w:val="00275F92"/>
    <w:rsid w:val="002B13FD"/>
    <w:rsid w:val="002F238A"/>
    <w:rsid w:val="00304043"/>
    <w:rsid w:val="00306FB7"/>
    <w:rsid w:val="003317CA"/>
    <w:rsid w:val="00335184"/>
    <w:rsid w:val="003C1B3C"/>
    <w:rsid w:val="003C2E29"/>
    <w:rsid w:val="003C780E"/>
    <w:rsid w:val="003D0F43"/>
    <w:rsid w:val="00411DBE"/>
    <w:rsid w:val="0041781B"/>
    <w:rsid w:val="0045250E"/>
    <w:rsid w:val="004817C1"/>
    <w:rsid w:val="00490549"/>
    <w:rsid w:val="00492A7D"/>
    <w:rsid w:val="00495FF8"/>
    <w:rsid w:val="004960CD"/>
    <w:rsid w:val="004E3003"/>
    <w:rsid w:val="00505AAF"/>
    <w:rsid w:val="00590F80"/>
    <w:rsid w:val="005C2975"/>
    <w:rsid w:val="005C2DA5"/>
    <w:rsid w:val="006041E7"/>
    <w:rsid w:val="0067165C"/>
    <w:rsid w:val="00687AFD"/>
    <w:rsid w:val="006E2A34"/>
    <w:rsid w:val="006F4C0B"/>
    <w:rsid w:val="007501CC"/>
    <w:rsid w:val="00770398"/>
    <w:rsid w:val="007A684A"/>
    <w:rsid w:val="007B1DCD"/>
    <w:rsid w:val="007C359F"/>
    <w:rsid w:val="007C6188"/>
    <w:rsid w:val="007D4310"/>
    <w:rsid w:val="007D44C6"/>
    <w:rsid w:val="007F6B44"/>
    <w:rsid w:val="00853EE2"/>
    <w:rsid w:val="008A08D6"/>
    <w:rsid w:val="008A6CD3"/>
    <w:rsid w:val="008B3184"/>
    <w:rsid w:val="008B377E"/>
    <w:rsid w:val="008F5003"/>
    <w:rsid w:val="0090427A"/>
    <w:rsid w:val="009526C6"/>
    <w:rsid w:val="00954F26"/>
    <w:rsid w:val="00981CF7"/>
    <w:rsid w:val="00984EC8"/>
    <w:rsid w:val="00994428"/>
    <w:rsid w:val="009C092B"/>
    <w:rsid w:val="00A066D5"/>
    <w:rsid w:val="00A407C3"/>
    <w:rsid w:val="00AA589C"/>
    <w:rsid w:val="00AB1357"/>
    <w:rsid w:val="00AD05C4"/>
    <w:rsid w:val="00AD657E"/>
    <w:rsid w:val="00AE1583"/>
    <w:rsid w:val="00B75A6D"/>
    <w:rsid w:val="00BD3C88"/>
    <w:rsid w:val="00C0598B"/>
    <w:rsid w:val="00C12DF2"/>
    <w:rsid w:val="00C163AC"/>
    <w:rsid w:val="00C34EBF"/>
    <w:rsid w:val="00C42B69"/>
    <w:rsid w:val="00CA1DBD"/>
    <w:rsid w:val="00CA6D42"/>
    <w:rsid w:val="00CC6C1E"/>
    <w:rsid w:val="00CF261D"/>
    <w:rsid w:val="00D0234C"/>
    <w:rsid w:val="00D11254"/>
    <w:rsid w:val="00D253F7"/>
    <w:rsid w:val="00D77B8D"/>
    <w:rsid w:val="00DB6AB6"/>
    <w:rsid w:val="00E03157"/>
    <w:rsid w:val="00E04308"/>
    <w:rsid w:val="00E156C6"/>
    <w:rsid w:val="00E1646C"/>
    <w:rsid w:val="00E33AD7"/>
    <w:rsid w:val="00E415D5"/>
    <w:rsid w:val="00E5712D"/>
    <w:rsid w:val="00E66DCC"/>
    <w:rsid w:val="00E80D7D"/>
    <w:rsid w:val="00F43D58"/>
    <w:rsid w:val="00F91AC5"/>
    <w:rsid w:val="00FA05E7"/>
    <w:rsid w:val="0EFB302E"/>
    <w:rsid w:val="25D21E4E"/>
    <w:rsid w:val="6E3B08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Normal"/>
    <w:uiPriority w:val="0"/>
    <w:pPr>
      <w:widowControl w:val="0"/>
      <w:adjustRightInd w:val="0"/>
      <w:spacing w:line="360" w:lineRule="atLeast"/>
      <w:textAlignment w:val="baseline"/>
    </w:pPr>
    <w:rPr>
      <w:rFonts w:ascii="宋体"/>
      <w:sz w:val="24"/>
      <w:lang w:val="en-US" w:eastAsia="zh-CN" w:bidi="ar-SA"/>
    </w:rPr>
  </w:style>
  <w:style w:type="paragraph" w:styleId="9">
    <w:name w:val=""/>
    <w:hidden/>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228</Words>
  <Characters>1300</Characters>
  <Lines>10</Lines>
  <Paragraphs>3</Paragraphs>
  <TotalTime>0</TotalTime>
  <ScaleCrop>false</ScaleCrop>
  <LinksUpToDate>false</LinksUpToDate>
  <CharactersWithSpaces>1525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2022-08-29T02:43:00Z</dcterms:created>
  <dc:creator>USER</dc:creator>
  <cp:lastModifiedBy>vertesyuan</cp:lastModifiedBy>
  <cp:lastPrinted>2011-06-30T09:20:00Z</cp:lastPrinted>
  <dcterms:modified xsi:type="dcterms:W3CDTF">2022-09-17T12:40:16Z</dcterms:modified>
  <dc:title>2011年硕士研究生入学考试专业课考试大纲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F4C6C8FB73BF4486BEB73B857F4C0B41</vt:lpwstr>
  </property>
</Properties>
</file>