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28"/>
          <w:szCs w:val="28"/>
        </w:rPr>
        <w:t>《信号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分析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与系统》考试大纲 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课程名称：</w:t>
      </w:r>
      <w:r>
        <w:rPr>
          <w:rFonts w:ascii="宋体" w:hAnsi="宋体" w:cs="Arial"/>
          <w:kern w:val="0"/>
          <w:sz w:val="24"/>
          <w:szCs w:val="21"/>
        </w:rPr>
        <w:t>信号</w:t>
      </w:r>
      <w:r>
        <w:rPr>
          <w:rFonts w:hint="eastAsia" w:ascii="宋体" w:hAnsi="宋体" w:cs="Arial"/>
          <w:kern w:val="0"/>
          <w:sz w:val="24"/>
          <w:szCs w:val="21"/>
        </w:rPr>
        <w:t>分析</w:t>
      </w:r>
      <w:r>
        <w:rPr>
          <w:rFonts w:ascii="宋体" w:hAnsi="宋体" w:cs="Arial"/>
          <w:kern w:val="0"/>
          <w:sz w:val="24"/>
          <w:szCs w:val="21"/>
        </w:rPr>
        <w:t>与系统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适用专业：</w:t>
      </w:r>
      <w:r>
        <w:rPr>
          <w:rFonts w:hint="eastAsia" w:ascii="宋体" w:hAnsi="宋体" w:cs="Arial"/>
          <w:kern w:val="0"/>
          <w:sz w:val="24"/>
          <w:szCs w:val="21"/>
        </w:rPr>
        <w:t>信息与通信工程、控制科学与工程、新一代电子信息技术（含量子技术等）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参考书目：</w:t>
      </w:r>
      <w:r>
        <w:rPr>
          <w:rFonts w:ascii="宋体" w:hAnsi="宋体" w:cs="Arial"/>
          <w:kern w:val="0"/>
          <w:sz w:val="24"/>
          <w:szCs w:val="21"/>
        </w:rPr>
        <w:t> </w:t>
      </w:r>
      <w:r>
        <w:rPr>
          <w:rFonts w:hint="eastAsia" w:ascii="宋体" w:hAnsi="宋体" w:cs="Arial"/>
          <w:kern w:val="0"/>
          <w:sz w:val="24"/>
          <w:szCs w:val="21"/>
        </w:rPr>
        <w:t>《信号与系统（上下册）》 (第三版)</w:t>
      </w:r>
      <w:r>
        <w:rPr>
          <w:rFonts w:ascii="宋体" w:hAnsi="宋体" w:cs="Arial"/>
          <w:kern w:val="0"/>
          <w:sz w:val="24"/>
          <w:szCs w:val="21"/>
        </w:rPr>
        <w:t xml:space="preserve">   </w:t>
      </w:r>
      <w:r>
        <w:rPr>
          <w:rFonts w:hint="eastAsia" w:ascii="宋体" w:hAnsi="宋体" w:cs="Arial"/>
          <w:kern w:val="0"/>
          <w:sz w:val="24"/>
          <w:szCs w:val="21"/>
        </w:rPr>
        <w:t>郑君里</w:t>
      </w:r>
      <w:r>
        <w:rPr>
          <w:rFonts w:ascii="宋体" w:hAnsi="宋体" w:cs="Arial"/>
          <w:kern w:val="0"/>
          <w:sz w:val="24"/>
          <w:szCs w:val="21"/>
        </w:rPr>
        <w:t xml:space="preserve"> </w:t>
      </w:r>
      <w:r>
        <w:rPr>
          <w:rFonts w:hint="eastAsia" w:ascii="宋体" w:hAnsi="宋体" w:cs="Arial"/>
          <w:kern w:val="0"/>
          <w:sz w:val="24"/>
          <w:szCs w:val="21"/>
        </w:rPr>
        <w:t>应启珩</w:t>
      </w:r>
      <w:r>
        <w:rPr>
          <w:rFonts w:ascii="宋体" w:hAnsi="宋体" w:cs="Arial"/>
          <w:kern w:val="0"/>
          <w:sz w:val="24"/>
          <w:szCs w:val="21"/>
        </w:rPr>
        <w:t xml:space="preserve">  </w:t>
      </w:r>
      <w:r>
        <w:rPr>
          <w:rFonts w:hint="eastAsia" w:ascii="宋体" w:hAnsi="宋体" w:cs="Arial"/>
          <w:kern w:val="0"/>
          <w:sz w:val="24"/>
          <w:szCs w:val="21"/>
        </w:rPr>
        <w:t>杨为理</w:t>
      </w:r>
      <w:r>
        <w:rPr>
          <w:rFonts w:ascii="宋体" w:hAnsi="宋体" w:cs="Arial"/>
          <w:kern w:val="0"/>
          <w:sz w:val="24"/>
          <w:szCs w:val="21"/>
        </w:rPr>
        <w:t xml:space="preserve">  </w:t>
      </w:r>
      <w:r>
        <w:rPr>
          <w:rFonts w:hint="eastAsia" w:ascii="宋体" w:hAnsi="宋体" w:cs="Arial"/>
          <w:kern w:val="0"/>
          <w:sz w:val="24"/>
          <w:szCs w:val="21"/>
        </w:rPr>
        <w:t xml:space="preserve">                     </w:t>
      </w:r>
      <w:r>
        <w:rPr>
          <w:rFonts w:ascii="宋体" w:hAnsi="宋体" w:cs="Arial"/>
          <w:kern w:val="0"/>
          <w:sz w:val="24"/>
          <w:szCs w:val="21"/>
        </w:rPr>
        <w:t xml:space="preserve"> </w:t>
      </w:r>
      <w:r>
        <w:rPr>
          <w:rFonts w:hint="eastAsia" w:ascii="宋体" w:hAnsi="宋体" w:cs="Arial"/>
          <w:kern w:val="0"/>
          <w:sz w:val="24"/>
          <w:szCs w:val="21"/>
        </w:rPr>
        <w:t>高等教育出版社，</w:t>
      </w:r>
      <w:r>
        <w:rPr>
          <w:rFonts w:ascii="宋体" w:hAnsi="宋体" w:cs="Arial"/>
          <w:kern w:val="0"/>
          <w:sz w:val="24"/>
          <w:szCs w:val="21"/>
        </w:rPr>
        <w:t>20</w:t>
      </w:r>
      <w:r>
        <w:rPr>
          <w:rFonts w:hint="eastAsia" w:ascii="宋体" w:hAnsi="宋体" w:cs="Arial"/>
          <w:kern w:val="0"/>
          <w:sz w:val="24"/>
          <w:szCs w:val="21"/>
        </w:rPr>
        <w:t>11年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 xml:space="preserve"> </w:t>
      </w:r>
      <w:r>
        <w:rPr>
          <w:rFonts w:ascii="宋体" w:hAnsi="宋体" w:cs="Arial"/>
          <w:kern w:val="0"/>
          <w:sz w:val="24"/>
          <w:szCs w:val="21"/>
        </w:rPr>
        <w:t xml:space="preserve">           </w:t>
      </w:r>
      <w:r>
        <w:rPr>
          <w:rFonts w:hint="eastAsia" w:ascii="宋体" w:hAnsi="宋体" w:cs="Arial"/>
          <w:kern w:val="0"/>
          <w:sz w:val="24"/>
          <w:szCs w:val="21"/>
        </w:rPr>
        <w:t xml:space="preserve">《数字信号处理》（第四版） </w:t>
      </w:r>
      <w:r>
        <w:rPr>
          <w:rFonts w:ascii="宋体" w:hAnsi="宋体" w:cs="Arial"/>
          <w:kern w:val="0"/>
          <w:sz w:val="24"/>
          <w:szCs w:val="21"/>
        </w:rPr>
        <w:t xml:space="preserve">  </w:t>
      </w:r>
      <w:r>
        <w:rPr>
          <w:rFonts w:hint="eastAsia" w:ascii="宋体" w:hAnsi="宋体" w:cs="Arial"/>
          <w:kern w:val="0"/>
          <w:sz w:val="24"/>
          <w:szCs w:val="21"/>
        </w:rPr>
        <w:t>高西全 丁玉美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1440" w:firstLineChars="600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西安电子科技大学出版社，2</w:t>
      </w:r>
      <w:r>
        <w:rPr>
          <w:rFonts w:ascii="宋体" w:hAnsi="宋体" w:cs="Arial"/>
          <w:kern w:val="0"/>
          <w:sz w:val="24"/>
          <w:szCs w:val="21"/>
        </w:rPr>
        <w:t>016</w:t>
      </w:r>
      <w:r>
        <w:rPr>
          <w:rFonts w:hint="eastAsia" w:ascii="宋体" w:hAnsi="宋体" w:cs="Arial"/>
          <w:kern w:val="0"/>
          <w:sz w:val="24"/>
          <w:szCs w:val="21"/>
        </w:rPr>
        <w:t>年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b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考试内容要求：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一、</w:t>
      </w:r>
      <w:r>
        <w:rPr>
          <w:rFonts w:hint="eastAsia" w:ascii="宋体" w:hAnsi="宋体" w:cs="Arial"/>
          <w:kern w:val="0"/>
          <w:sz w:val="24"/>
          <w:szCs w:val="21"/>
        </w:rPr>
        <w:t>信号与系统的基本概念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了解信号的分类、典型信号、奇异信号、连续信号的时域分解、系统的描述、系统的分类。掌握信号的基本运算，奇异信号的性质，系统性质的判断。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二、</w:t>
      </w:r>
      <w:r>
        <w:rPr>
          <w:rFonts w:hint="eastAsia" w:ascii="宋体" w:hAnsi="宋体" w:cs="Arial"/>
          <w:kern w:val="0"/>
          <w:sz w:val="24"/>
          <w:szCs w:val="21"/>
        </w:rPr>
        <w:t>连续时间系统的时域分析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掌握连续时间系统的零输入响应、零状态响应、冲激响应与阶跃响应的求解方法；掌握起始点跳变的判断方法；掌握卷积积分的运算和性质</w:t>
      </w:r>
      <w:r>
        <w:rPr>
          <w:rFonts w:ascii="宋体" w:hAnsi="宋体" w:cs="Arial"/>
          <w:kern w:val="0"/>
          <w:sz w:val="24"/>
          <w:szCs w:val="21"/>
        </w:rPr>
        <w:t>,</w:t>
      </w:r>
      <w:r>
        <w:rPr>
          <w:rFonts w:hint="eastAsia" w:ascii="宋体" w:hAnsi="宋体" w:cs="Arial"/>
          <w:kern w:val="0"/>
          <w:sz w:val="24"/>
          <w:szCs w:val="21"/>
        </w:rPr>
        <w:t>并会利用卷积及其性质求解系统响应。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三、</w:t>
      </w:r>
      <w:r>
        <w:rPr>
          <w:rFonts w:hint="eastAsia" w:ascii="宋体" w:hAnsi="宋体" w:cs="Arial"/>
          <w:kern w:val="0"/>
          <w:sz w:val="24"/>
          <w:szCs w:val="21"/>
        </w:rPr>
        <w:t>连续信号的傅里叶分析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了解周期信号的傅里叶级数分析；常用周期信号的频谱；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掌握非周期信号的傅里叶变换；常用非周期信号的频谱；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掌握并会应用傅里叶变换的性质分析信号的频谱；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周期信号的傅里叶变换；抽样定理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四、</w:t>
      </w:r>
      <w:r>
        <w:rPr>
          <w:rFonts w:hint="eastAsia" w:ascii="宋体" w:hAnsi="宋体" w:cs="Arial"/>
          <w:kern w:val="0"/>
          <w:sz w:val="24"/>
          <w:szCs w:val="21"/>
        </w:rPr>
        <w:t>连续时间系统的频域分析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掌握线性非时变系统的频率响应；线性系统对激励信号响应的频域分析方法；连续时间选频滤波器；调制与解调的原理；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五</w:t>
      </w:r>
      <w:r>
        <w:rPr>
          <w:rFonts w:hint="eastAsia" w:ascii="宋体" w:hAnsi="宋体" w:cs="Arial"/>
          <w:kern w:val="0"/>
          <w:sz w:val="24"/>
          <w:szCs w:val="21"/>
        </w:rPr>
        <w:t>、Laplace变换和连续时间系统的</w:t>
      </w:r>
      <w:r>
        <w:rPr>
          <w:rFonts w:ascii="宋体" w:hAnsi="宋体" w:cs="Arial"/>
          <w:kern w:val="0"/>
          <w:sz w:val="24"/>
          <w:szCs w:val="21"/>
        </w:rPr>
        <w:t>s</w:t>
      </w:r>
      <w:r>
        <w:rPr>
          <w:rFonts w:hint="eastAsia" w:ascii="宋体" w:hAnsi="宋体" w:cs="Arial"/>
          <w:kern w:val="0"/>
          <w:sz w:val="24"/>
          <w:szCs w:val="21"/>
        </w:rPr>
        <w:t>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掌握拉普拉斯变换的定义和收敛域；常用信号的拉普拉斯变换；拉普拉斯变换的性质；拉普拉斯反变换；利用拉普拉斯变换进行电路分析；由系统函数的零极点分布确定时域特性和频域特性；判断系统的稳定性；利用拉普拉斯变换求解系统全响应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六、</w:t>
      </w:r>
      <w:r>
        <w:rPr>
          <w:rFonts w:hint="eastAsia" w:ascii="宋体" w:hAnsi="宋体" w:cs="Arial"/>
          <w:kern w:val="0"/>
          <w:sz w:val="24"/>
          <w:szCs w:val="21"/>
        </w:rPr>
        <w:t>离散时间系统的时域分析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常系数线性差分方程及其求解；离散时间系统的单位样值响应；卷积和的运算。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七、</w:t>
      </w: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变换与离散时间系统的</w:t>
      </w: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变换的定义和收敛域；基本离散信号的</w:t>
      </w:r>
      <w:r>
        <w:rPr>
          <w:rFonts w:ascii="宋体" w:hAnsi="宋体" w:cs="Arial"/>
          <w:kern w:val="0"/>
          <w:sz w:val="24"/>
          <w:szCs w:val="21"/>
        </w:rPr>
        <w:t xml:space="preserve">Z </w:t>
      </w:r>
      <w:r>
        <w:rPr>
          <w:rFonts w:hint="eastAsia" w:ascii="宋体" w:hAnsi="宋体" w:cs="Arial"/>
          <w:kern w:val="0"/>
          <w:sz w:val="24"/>
          <w:szCs w:val="21"/>
        </w:rPr>
        <w:t>变换；</w:t>
      </w: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反变换；</w:t>
      </w: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变换的基本性质；离散时间系统的系统函数与</w:t>
      </w:r>
      <w:r>
        <w:rPr>
          <w:rFonts w:ascii="宋体" w:hAnsi="宋体" w:cs="Arial"/>
          <w:kern w:val="0"/>
          <w:sz w:val="24"/>
          <w:szCs w:val="21"/>
        </w:rPr>
        <w:t>Z</w:t>
      </w:r>
      <w:r>
        <w:rPr>
          <w:rFonts w:hint="eastAsia" w:ascii="宋体" w:hAnsi="宋体" w:cs="Arial"/>
          <w:kern w:val="0"/>
          <w:sz w:val="24"/>
          <w:szCs w:val="21"/>
        </w:rPr>
        <w:t>域分析；离散时间信号的傅里叶变换，离散时间系统的频率响应特性。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b/>
          <w:kern w:val="0"/>
          <w:sz w:val="24"/>
          <w:szCs w:val="21"/>
        </w:rPr>
        <w:t>八</w:t>
      </w:r>
      <w:r>
        <w:rPr>
          <w:rFonts w:hint="eastAsia" w:ascii="宋体" w:hAnsi="宋体" w:cs="Arial"/>
          <w:kern w:val="0"/>
          <w:sz w:val="24"/>
          <w:szCs w:val="21"/>
        </w:rPr>
        <w:t>、数字信号与系统分析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hint="eastAsia" w:ascii="宋体" w:hAnsi="宋体" w:cs="Arial"/>
          <w:kern w:val="0"/>
          <w:sz w:val="24"/>
          <w:szCs w:val="21"/>
        </w:rPr>
      </w:pPr>
      <w:r>
        <w:rPr>
          <w:rFonts w:hint="eastAsia" w:ascii="宋体" w:hAnsi="宋体" w:cs="Arial"/>
          <w:kern w:val="0"/>
          <w:sz w:val="24"/>
          <w:szCs w:val="21"/>
        </w:rPr>
        <w:t>离散傅里叶变换；时域离散系统的基本网络结构；无限脉冲响应数字滤波器的设计；有限脉冲响应数字滤波器的设计。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  <w:r>
        <w:rPr>
          <w:rFonts w:ascii="宋体" w:hAnsi="宋体" w:cs="Arial"/>
          <w:kern w:val="0"/>
          <w:sz w:val="24"/>
          <w:szCs w:val="21"/>
        </w:rPr>
        <w:t> </w:t>
      </w:r>
    </w:p>
    <w:p>
      <w:pPr>
        <w:widowControl/>
        <w:shd w:val="clear" w:color="auto" w:fill="FFFFFF"/>
        <w:wordWrap w:val="0"/>
        <w:snapToGrid w:val="0"/>
        <w:spacing w:line="360" w:lineRule="auto"/>
        <w:rPr>
          <w:rFonts w:ascii="宋体" w:hAnsi="宋体" w:cs="Arial"/>
          <w:kern w:val="0"/>
          <w:sz w:val="24"/>
          <w:szCs w:val="21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TYyMjIzYzE1NDEwNWQ5ZjlkNDU5MjVmNTMwNzAifQ=="/>
  </w:docVars>
  <w:rsids>
    <w:rsidRoot w:val="00E73ECD"/>
    <w:rsid w:val="00023AEC"/>
    <w:rsid w:val="00084F5B"/>
    <w:rsid w:val="000A1A4C"/>
    <w:rsid w:val="000D78DB"/>
    <w:rsid w:val="00144A42"/>
    <w:rsid w:val="002172E7"/>
    <w:rsid w:val="00311250"/>
    <w:rsid w:val="00334A55"/>
    <w:rsid w:val="00343EF7"/>
    <w:rsid w:val="00386F50"/>
    <w:rsid w:val="003D37C5"/>
    <w:rsid w:val="003E0B11"/>
    <w:rsid w:val="004121A3"/>
    <w:rsid w:val="00426AC1"/>
    <w:rsid w:val="00462C7A"/>
    <w:rsid w:val="004C6DB7"/>
    <w:rsid w:val="00521179"/>
    <w:rsid w:val="0065664C"/>
    <w:rsid w:val="006F52BC"/>
    <w:rsid w:val="007166D7"/>
    <w:rsid w:val="007959A6"/>
    <w:rsid w:val="007C1336"/>
    <w:rsid w:val="007F72BD"/>
    <w:rsid w:val="0082629D"/>
    <w:rsid w:val="008A1556"/>
    <w:rsid w:val="009146DA"/>
    <w:rsid w:val="00934DA7"/>
    <w:rsid w:val="009515B3"/>
    <w:rsid w:val="00A1733F"/>
    <w:rsid w:val="00A272E7"/>
    <w:rsid w:val="00A65D6B"/>
    <w:rsid w:val="00A93DA8"/>
    <w:rsid w:val="00AE77D9"/>
    <w:rsid w:val="00B42574"/>
    <w:rsid w:val="00B7365F"/>
    <w:rsid w:val="00B871D8"/>
    <w:rsid w:val="00BD5093"/>
    <w:rsid w:val="00BE3CDE"/>
    <w:rsid w:val="00BE5217"/>
    <w:rsid w:val="00BF15CB"/>
    <w:rsid w:val="00C1702E"/>
    <w:rsid w:val="00CA6CCB"/>
    <w:rsid w:val="00E34D6D"/>
    <w:rsid w:val="00E73ECD"/>
    <w:rsid w:val="00F978BA"/>
    <w:rsid w:val="00FC2D06"/>
    <w:rsid w:val="02B17AFC"/>
    <w:rsid w:val="1E9E7C10"/>
    <w:rsid w:val="73596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2021-09-12T07:27:00Z</dcterms:created>
  <dc:creator>张丽</dc:creator>
  <cp:lastModifiedBy>vertesyuan</cp:lastModifiedBy>
  <dcterms:modified xsi:type="dcterms:W3CDTF">2022-09-17T11:54:07Z</dcterms:modified>
  <dc:title>2010年考试大纲 -《信号与系统》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76C36193F8514E5C9BE1A6AB951EEFA0</vt:lpwstr>
  </property>
</Properties>
</file>