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28"/>
        </w:rPr>
      </w:pPr>
      <w:bookmarkStart w:id="0" w:name="_GoBack"/>
      <w:bookmarkEnd w:id="0"/>
      <w:r>
        <w:rPr>
          <w:rFonts w:hint="eastAsia" w:ascii="宋体" w:hAnsi="宋体"/>
          <w:b/>
          <w:sz w:val="28"/>
        </w:rPr>
        <w:t>中国石油大学（北京）硕士研究生入学考试---技术经济学       考试大纲</w:t>
      </w:r>
    </w:p>
    <w:p>
      <w:pPr>
        <w:jc w:val="center"/>
        <w:rPr>
          <w:rFonts w:hint="eastAsia" w:ascii="宋体" w:hAnsi="宋体"/>
        </w:rPr>
      </w:pPr>
    </w:p>
    <w:p>
      <w:pPr>
        <w:ind w:left="420" w:leftChars="200"/>
        <w:rPr>
          <w:rFonts w:hint="eastAsia" w:hAnsi="宋体"/>
        </w:rPr>
      </w:pPr>
      <w:r>
        <w:rPr>
          <w:rFonts w:hint="eastAsia" w:hAnsi="宋体"/>
        </w:rPr>
        <w:t>课程名称：技术经济学</w:t>
      </w:r>
    </w:p>
    <w:p>
      <w:pPr>
        <w:ind w:left="420" w:leftChars="20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适用专业: 工商管理学院技术经济与管理等专业 </w:t>
      </w:r>
    </w:p>
    <w:p>
      <w:pPr>
        <w:ind w:firstLine="420" w:firstLineChars="200"/>
        <w:jc w:val="left"/>
        <w:rPr>
          <w:rFonts w:hint="eastAsia" w:ascii="宋体" w:hAnsi="宋体" w:cs="Arial"/>
        </w:rPr>
      </w:pPr>
      <w:r>
        <w:rPr>
          <w:rFonts w:hint="eastAsia" w:ascii="宋体" w:hAnsi="宋体"/>
        </w:rPr>
        <w:t>参考书目：</w:t>
      </w:r>
      <w:r>
        <w:rPr>
          <w:rFonts w:hint="eastAsia" w:ascii="宋体" w:hAnsi="宋体" w:cs="Arial"/>
        </w:rPr>
        <w:t>《工业技术经济》</w:t>
      </w:r>
      <w:r>
        <w:rPr>
          <w:rFonts w:ascii="宋体" w:hAnsi="宋体" w:cs="Arial"/>
        </w:rPr>
        <w:t>(</w:t>
      </w:r>
      <w:r>
        <w:rPr>
          <w:rFonts w:hint="eastAsia" w:ascii="宋体" w:hAnsi="宋体" w:cs="Arial"/>
        </w:rPr>
        <w:t>第三版</w:t>
      </w:r>
      <w:r>
        <w:rPr>
          <w:rFonts w:ascii="宋体" w:hAnsi="宋体" w:cs="Arial"/>
        </w:rPr>
        <w:t xml:space="preserve">) </w:t>
      </w:r>
      <w:r>
        <w:rPr>
          <w:rFonts w:hint="eastAsia" w:ascii="宋体" w:hAnsi="宋体" w:cs="Arial"/>
        </w:rPr>
        <w:t>清华大学出版社</w:t>
      </w:r>
      <w:r>
        <w:rPr>
          <w:rFonts w:ascii="宋体" w:hAnsi="宋体" w:cs="Arial"/>
        </w:rPr>
        <w:t xml:space="preserve"> </w:t>
      </w:r>
      <w:r>
        <w:rPr>
          <w:rFonts w:hint="eastAsia" w:ascii="宋体" w:hAnsi="宋体" w:cs="Arial"/>
        </w:rPr>
        <w:t>付家骥</w:t>
      </w:r>
    </w:p>
    <w:p>
      <w:pPr>
        <w:ind w:left="420" w:leftChars="200"/>
        <w:rPr>
          <w:rFonts w:hint="eastAsia" w:ascii="宋体" w:hAnsi="宋体"/>
        </w:rPr>
      </w:pPr>
      <w:r>
        <w:rPr>
          <w:rFonts w:hint="eastAsia" w:hAnsi="宋体"/>
        </w:rPr>
        <w:t>该课程注重基本概念、基本方法、基本能力的考查。</w:t>
      </w:r>
    </w:p>
    <w:p>
      <w:pPr>
        <w:rPr>
          <w:rFonts w:hint="eastAsia" w:ascii="宋体" w:hAnsi="宋体"/>
          <w:u w:val="single"/>
        </w:rPr>
      </w:pPr>
      <w:r>
        <w:rPr>
          <w:rFonts w:ascii="宋体" w:hAnsi="宋体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5200650" cy="0"/>
                <wp:effectExtent l="0" t="0" r="0" b="0"/>
                <wp:wrapThrough wrapText="bothSides">
                  <wp:wrapPolygon>
                    <wp:start x="-43" y="0"/>
                    <wp:lineTo x="-43" y="0"/>
                    <wp:lineTo x="21643" y="0"/>
                    <wp:lineTo x="21643" y="0"/>
                    <wp:lineTo x="-43" y="0"/>
                  </wp:wrapPolygon>
                </wp:wrapThrough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9.95pt;height:0pt;width:409.5pt;mso-wrap-distance-left:9pt;mso-wrap-distance-right:9pt;z-index:251659264;mso-width-relative:page;mso-height-relative:page;" filled="f" stroked="t" coordsize="21600,21600" wrapcoords="-43 0 -43 0 21643 0 21643 0 -43 0" o:allowincell="f" o:gfxdata="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E4lY/TSAAAABgEAAA8A&#10;AAAAAAAAAQAgAAAAIgAAAGRycy9kb3ducmV2LnhtbFBLAQIUABQAAAAIAIdO4kDr4mik5AEAANsD&#10;AAAOAAAAAAAAAAEAIAAAACE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  <w10:wrap type="through"/>
              </v:line>
            </w:pict>
          </mc:Fallback>
        </mc:AlternateConten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 w:ascii="宋体"/>
        </w:rPr>
        <w:t>绪论</w:t>
      </w:r>
    </w:p>
    <w:p>
      <w:pPr>
        <w:numPr>
          <w:ilvl w:val="0"/>
          <w:numId w:val="2"/>
        </w:numPr>
        <w:rPr>
          <w:rFonts w:hint="eastAsia" w:ascii="宋体"/>
        </w:rPr>
      </w:pPr>
      <w:r>
        <w:rPr>
          <w:rFonts w:hint="eastAsia" w:ascii="宋体"/>
        </w:rPr>
        <w:t>技术经济学的研究对象及内容</w:t>
      </w:r>
    </w:p>
    <w:p>
      <w:pPr>
        <w:numPr>
          <w:ilvl w:val="0"/>
          <w:numId w:val="2"/>
        </w:numPr>
        <w:rPr>
          <w:rFonts w:hint="eastAsia"/>
        </w:rPr>
      </w:pPr>
      <w:r>
        <w:rPr>
          <w:rFonts w:hint="eastAsia" w:ascii="宋体"/>
        </w:rPr>
        <w:t>学习技术经济学的必要性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 w:ascii="宋体"/>
        </w:rPr>
        <w:t xml:space="preserve"> 现金流量的构成和资金的等值计算</w:t>
      </w:r>
    </w:p>
    <w:p>
      <w:pPr>
        <w:numPr>
          <w:ilvl w:val="0"/>
          <w:numId w:val="3"/>
        </w:numPr>
        <w:rPr>
          <w:rFonts w:hint="eastAsia" w:ascii="宋体"/>
        </w:rPr>
      </w:pPr>
      <w:r>
        <w:rPr>
          <w:rFonts w:hint="eastAsia" w:ascii="宋体"/>
        </w:rPr>
        <w:t>现金流量的构成</w:t>
      </w:r>
    </w:p>
    <w:p>
      <w:pPr>
        <w:numPr>
          <w:ilvl w:val="0"/>
          <w:numId w:val="3"/>
        </w:numPr>
        <w:rPr>
          <w:rFonts w:hint="eastAsia"/>
        </w:rPr>
      </w:pPr>
      <w:r>
        <w:rPr>
          <w:rFonts w:hint="eastAsia" w:ascii="宋体"/>
        </w:rPr>
        <w:t>资金等值计算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 w:ascii="宋体"/>
        </w:rPr>
        <w:t xml:space="preserve"> 经济效果评价方法</w:t>
      </w:r>
    </w:p>
    <w:p>
      <w:pPr>
        <w:numPr>
          <w:ilvl w:val="0"/>
          <w:numId w:val="4"/>
        </w:numPr>
        <w:rPr>
          <w:rFonts w:hint="eastAsia" w:ascii="宋体"/>
        </w:rPr>
      </w:pPr>
      <w:r>
        <w:rPr>
          <w:rFonts w:hint="eastAsia" w:ascii="宋体"/>
        </w:rPr>
        <w:t>经济效果评价指标</w:t>
      </w:r>
    </w:p>
    <w:p>
      <w:pPr>
        <w:numPr>
          <w:ilvl w:val="0"/>
          <w:numId w:val="4"/>
        </w:numPr>
        <w:rPr>
          <w:rFonts w:hint="eastAsia"/>
        </w:rPr>
      </w:pPr>
      <w:r>
        <w:rPr>
          <w:rFonts w:hint="eastAsia" w:ascii="宋体"/>
        </w:rPr>
        <w:t>决策结构和评价方法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 w:ascii="宋体"/>
        </w:rPr>
        <w:t xml:space="preserve"> 不确定性分析</w:t>
      </w:r>
    </w:p>
    <w:p>
      <w:pPr>
        <w:numPr>
          <w:ilvl w:val="0"/>
          <w:numId w:val="5"/>
        </w:numPr>
        <w:rPr>
          <w:rFonts w:hint="eastAsia" w:ascii="宋体"/>
        </w:rPr>
      </w:pPr>
      <w:r>
        <w:rPr>
          <w:rFonts w:hint="eastAsia" w:ascii="宋体"/>
        </w:rPr>
        <w:t>盈亏平衡分析</w:t>
      </w:r>
    </w:p>
    <w:p>
      <w:pPr>
        <w:numPr>
          <w:ilvl w:val="0"/>
          <w:numId w:val="5"/>
        </w:numPr>
        <w:rPr>
          <w:rFonts w:hint="eastAsia"/>
        </w:rPr>
      </w:pPr>
      <w:r>
        <w:rPr>
          <w:rFonts w:hint="eastAsia" w:ascii="宋体"/>
        </w:rPr>
        <w:t>敏感性分析</w:t>
      </w:r>
    </w:p>
    <w:p>
      <w:pPr>
        <w:numPr>
          <w:ilvl w:val="0"/>
          <w:numId w:val="5"/>
        </w:numPr>
        <w:rPr>
          <w:rFonts w:hint="eastAsia"/>
        </w:rPr>
      </w:pPr>
      <w:r>
        <w:rPr>
          <w:rFonts w:hint="eastAsia" w:ascii="宋体"/>
        </w:rPr>
        <w:t>概率分析</w:t>
      </w:r>
    </w:p>
    <w:p>
      <w:pPr>
        <w:numPr>
          <w:ilvl w:val="0"/>
          <w:numId w:val="5"/>
        </w:numPr>
        <w:rPr>
          <w:rFonts w:hint="eastAsia"/>
        </w:rPr>
      </w:pPr>
      <w:r>
        <w:rPr>
          <w:rFonts w:hint="eastAsia" w:ascii="宋体"/>
        </w:rPr>
        <w:t>风险决策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 w:ascii="宋体"/>
        </w:rPr>
        <w:t xml:space="preserve"> 投资项目的财务分析</w:t>
      </w:r>
    </w:p>
    <w:p>
      <w:pPr>
        <w:numPr>
          <w:ilvl w:val="0"/>
          <w:numId w:val="6"/>
        </w:numPr>
        <w:rPr>
          <w:rFonts w:hint="eastAsia" w:ascii="宋体"/>
        </w:rPr>
      </w:pPr>
      <w:r>
        <w:rPr>
          <w:rFonts w:hint="eastAsia" w:ascii="宋体"/>
        </w:rPr>
        <w:t>可行性研究和项目财务分析概述</w:t>
      </w:r>
    </w:p>
    <w:p>
      <w:pPr>
        <w:numPr>
          <w:ilvl w:val="0"/>
          <w:numId w:val="6"/>
        </w:numPr>
        <w:rPr>
          <w:rFonts w:hint="eastAsia"/>
        </w:rPr>
      </w:pPr>
      <w:r>
        <w:rPr>
          <w:rFonts w:hint="eastAsia" w:ascii="宋体"/>
        </w:rPr>
        <w:t>费用、收益识别和基础财务报表编制</w:t>
      </w:r>
    </w:p>
    <w:p>
      <w:pPr>
        <w:numPr>
          <w:ilvl w:val="0"/>
          <w:numId w:val="6"/>
        </w:numPr>
        <w:rPr>
          <w:rFonts w:hint="eastAsia"/>
        </w:rPr>
      </w:pPr>
      <w:r>
        <w:rPr>
          <w:rFonts w:hint="eastAsia" w:ascii="宋体"/>
        </w:rPr>
        <w:t>资金规划</w:t>
      </w:r>
    </w:p>
    <w:p>
      <w:pPr>
        <w:numPr>
          <w:ilvl w:val="0"/>
          <w:numId w:val="6"/>
        </w:numPr>
        <w:rPr>
          <w:rFonts w:hint="eastAsia"/>
        </w:rPr>
      </w:pPr>
      <w:r>
        <w:rPr>
          <w:rFonts w:hint="eastAsia" w:ascii="宋体"/>
        </w:rPr>
        <w:t>财务效果计算</w:t>
      </w:r>
    </w:p>
    <w:p>
      <w:pPr>
        <w:numPr>
          <w:ilvl w:val="0"/>
          <w:numId w:val="6"/>
        </w:numPr>
        <w:rPr>
          <w:rFonts w:hint="eastAsia"/>
        </w:rPr>
      </w:pPr>
      <w:r>
        <w:rPr>
          <w:rFonts w:hint="eastAsia" w:ascii="宋体"/>
        </w:rPr>
        <w:t>案例分析</w:t>
      </w:r>
    </w:p>
    <w:sectPr>
      <w:pgSz w:w="10319" w:h="14572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332608"/>
    <w:multiLevelType w:val="singleLevel"/>
    <w:tmpl w:val="05332608"/>
    <w:lvl w:ilvl="0" w:tentative="0">
      <w:start w:val="1"/>
      <w:numFmt w:val="japaneseCounting"/>
      <w:lvlText w:val="第%1节"/>
      <w:lvlJc w:val="left"/>
      <w:pPr>
        <w:tabs>
          <w:tab w:val="left" w:pos="1260"/>
        </w:tabs>
        <w:ind w:left="1260" w:hanging="840"/>
      </w:pPr>
      <w:rPr>
        <w:rFonts w:hint="eastAsia"/>
      </w:rPr>
    </w:lvl>
  </w:abstractNum>
  <w:abstractNum w:abstractNumId="1">
    <w:nsid w:val="25ED408A"/>
    <w:multiLevelType w:val="singleLevel"/>
    <w:tmpl w:val="25ED408A"/>
    <w:lvl w:ilvl="0" w:tentative="0">
      <w:start w:val="1"/>
      <w:numFmt w:val="japaneseCounting"/>
      <w:lvlText w:val="第%1节"/>
      <w:lvlJc w:val="left"/>
      <w:pPr>
        <w:tabs>
          <w:tab w:val="left" w:pos="1260"/>
        </w:tabs>
        <w:ind w:left="1260" w:hanging="840"/>
      </w:pPr>
      <w:rPr>
        <w:rFonts w:hint="eastAsia"/>
      </w:rPr>
    </w:lvl>
  </w:abstractNum>
  <w:abstractNum w:abstractNumId="2">
    <w:nsid w:val="59695D7F"/>
    <w:multiLevelType w:val="singleLevel"/>
    <w:tmpl w:val="59695D7F"/>
    <w:lvl w:ilvl="0" w:tentative="0">
      <w:start w:val="1"/>
      <w:numFmt w:val="japaneseCounting"/>
      <w:lvlText w:val="第%1章"/>
      <w:lvlJc w:val="left"/>
      <w:pPr>
        <w:tabs>
          <w:tab w:val="left" w:pos="720"/>
        </w:tabs>
        <w:ind w:left="720" w:hanging="720"/>
      </w:pPr>
      <w:rPr>
        <w:rFonts w:hint="eastAsia" w:ascii="宋体"/>
      </w:rPr>
    </w:lvl>
  </w:abstractNum>
  <w:abstractNum w:abstractNumId="3">
    <w:nsid w:val="6B5A270F"/>
    <w:multiLevelType w:val="singleLevel"/>
    <w:tmpl w:val="6B5A270F"/>
    <w:lvl w:ilvl="0" w:tentative="0">
      <w:start w:val="1"/>
      <w:numFmt w:val="japaneseCounting"/>
      <w:lvlText w:val="第%1节"/>
      <w:lvlJc w:val="left"/>
      <w:pPr>
        <w:tabs>
          <w:tab w:val="left" w:pos="1260"/>
        </w:tabs>
        <w:ind w:left="1260" w:hanging="840"/>
      </w:pPr>
      <w:rPr>
        <w:rFonts w:hint="eastAsia"/>
      </w:rPr>
    </w:lvl>
  </w:abstractNum>
  <w:abstractNum w:abstractNumId="4">
    <w:nsid w:val="738E62AE"/>
    <w:multiLevelType w:val="singleLevel"/>
    <w:tmpl w:val="738E62AE"/>
    <w:lvl w:ilvl="0" w:tentative="0">
      <w:start w:val="1"/>
      <w:numFmt w:val="japaneseCounting"/>
      <w:lvlText w:val="第%1节"/>
      <w:lvlJc w:val="left"/>
      <w:pPr>
        <w:tabs>
          <w:tab w:val="left" w:pos="1260"/>
        </w:tabs>
        <w:ind w:left="1260" w:hanging="840"/>
      </w:pPr>
      <w:rPr>
        <w:rFonts w:hint="eastAsia"/>
      </w:rPr>
    </w:lvl>
  </w:abstractNum>
  <w:abstractNum w:abstractNumId="5">
    <w:nsid w:val="7BA65219"/>
    <w:multiLevelType w:val="singleLevel"/>
    <w:tmpl w:val="7BA65219"/>
    <w:lvl w:ilvl="0" w:tentative="0">
      <w:start w:val="1"/>
      <w:numFmt w:val="japaneseCounting"/>
      <w:lvlText w:val="第%1节"/>
      <w:lvlJc w:val="left"/>
      <w:pPr>
        <w:tabs>
          <w:tab w:val="left" w:pos="1260"/>
        </w:tabs>
        <w:ind w:left="1260" w:hanging="84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C4D"/>
    <w:rsid w:val="001E7A35"/>
    <w:rsid w:val="00371606"/>
    <w:rsid w:val="003905AE"/>
    <w:rsid w:val="006339D9"/>
    <w:rsid w:val="00771871"/>
    <w:rsid w:val="009D3D6E"/>
    <w:rsid w:val="00B65C4D"/>
    <w:rsid w:val="00B90DEA"/>
    <w:rsid w:val="00E52FC3"/>
    <w:rsid w:val="00F22CC2"/>
    <w:rsid w:val="17A15A5E"/>
    <w:rsid w:val="43627C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0"/>
    <w:rPr>
      <w:kern w:val="2"/>
      <w:sz w:val="18"/>
      <w:szCs w:val="18"/>
    </w:r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petroleum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2011-11-01T06:32:00Z</dcterms:created>
  <dc:creator>Sun Mei</dc:creator>
  <cp:lastModifiedBy>vertesyuan</cp:lastModifiedBy>
  <dcterms:modified xsi:type="dcterms:W3CDTF">2022-09-17T11:55:39Z</dcterms:modified>
  <dc:title>技术经济学考试大纲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12BDEEB0462F4BDDB5F9E30B976BE99C</vt:lpwstr>
  </property>
</Properties>
</file>