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b/>
          <w:color w:val="000000"/>
          <w:sz w:val="40"/>
          <w:szCs w:val="32"/>
        </w:rPr>
      </w:pPr>
      <w:bookmarkStart w:id="0" w:name="_GoBack"/>
      <w:bookmarkEnd w:id="0"/>
    </w:p>
    <w:p>
      <w:pPr>
        <w:jc w:val="center"/>
        <w:rPr>
          <w:rFonts w:hint="eastAsia" w:ascii="微软雅黑" w:hAnsi="微软雅黑" w:eastAsia="微软雅黑"/>
          <w:b/>
          <w:color w:val="000000"/>
          <w:sz w:val="40"/>
          <w:szCs w:val="32"/>
        </w:rPr>
      </w:pPr>
      <w:r>
        <w:rPr>
          <w:rFonts w:hint="eastAsia" w:ascii="微软雅黑" w:hAnsi="微软雅黑" w:eastAsia="微软雅黑"/>
          <w:b/>
          <w:color w:val="000000"/>
          <w:sz w:val="40"/>
          <w:szCs w:val="32"/>
        </w:rPr>
        <w:t>汉语基础考试大纲</w:t>
      </w:r>
    </w:p>
    <w:p>
      <w:pPr>
        <w:spacing w:before="156" w:beforeLines="50" w:after="156" w:afterLines="50"/>
        <w:rPr>
          <w:rFonts w:hint="eastAsia" w:ascii="微软雅黑" w:hAnsi="微软雅黑" w:eastAsia="微软雅黑"/>
          <w:b/>
          <w:color w:val="000000"/>
          <w:sz w:val="36"/>
          <w:szCs w:val="28"/>
        </w:rPr>
      </w:pPr>
      <w:r>
        <w:rPr>
          <w:rFonts w:hint="eastAsia" w:ascii="微软雅黑" w:hAnsi="微软雅黑" w:eastAsia="微软雅黑"/>
          <w:b/>
          <w:color w:val="000000"/>
          <w:sz w:val="36"/>
          <w:szCs w:val="28"/>
        </w:rPr>
        <w:t>一、考试性质</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pPr>
        <w:spacing w:before="156" w:beforeLines="50" w:after="156" w:afterLines="50"/>
        <w:rPr>
          <w:rFonts w:hint="eastAsia" w:ascii="微软雅黑" w:hAnsi="微软雅黑" w:eastAsia="微软雅黑"/>
          <w:b/>
          <w:color w:val="000000"/>
          <w:sz w:val="36"/>
          <w:szCs w:val="28"/>
        </w:rPr>
      </w:pPr>
      <w:r>
        <w:rPr>
          <w:rFonts w:hint="eastAsia" w:ascii="微软雅黑" w:hAnsi="微软雅黑" w:eastAsia="微软雅黑"/>
          <w:b/>
          <w:color w:val="000000"/>
          <w:sz w:val="36"/>
          <w:szCs w:val="28"/>
        </w:rPr>
        <w:t>二、评价目标</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(1)要求考生具有较全面的汉语语言学基础知识。</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(2)要求考生具有较高的汉语应用能力。</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(3)要求考生具有较强的汉语语言分析能力。</w:t>
      </w:r>
    </w:p>
    <w:p>
      <w:pPr>
        <w:spacing w:before="156" w:beforeLines="50" w:after="156" w:afterLines="50"/>
        <w:rPr>
          <w:rFonts w:hint="eastAsia" w:ascii="微软雅黑" w:hAnsi="微软雅黑" w:eastAsia="微软雅黑"/>
          <w:b/>
          <w:color w:val="000000"/>
          <w:sz w:val="36"/>
          <w:szCs w:val="28"/>
        </w:rPr>
      </w:pPr>
      <w:r>
        <w:rPr>
          <w:rFonts w:hint="eastAsia" w:ascii="微软雅黑" w:hAnsi="微软雅黑" w:eastAsia="微软雅黑"/>
          <w:b/>
          <w:color w:val="000000"/>
          <w:sz w:val="36"/>
          <w:szCs w:val="28"/>
        </w:rPr>
        <w:t>三、考试内容</w:t>
      </w:r>
    </w:p>
    <w:p>
      <w:pPr>
        <w:spacing w:line="400" w:lineRule="exact"/>
        <w:ind w:firstLine="480"/>
        <w:rPr>
          <w:rFonts w:hint="eastAsia" w:ascii="仿宋_GB2312" w:hAnsi="宋体" w:eastAsia="仿宋_GB2312"/>
          <w:color w:val="000000"/>
          <w:sz w:val="24"/>
          <w:szCs w:val="21"/>
        </w:rPr>
      </w:pPr>
      <w:r>
        <w:rPr>
          <w:rFonts w:hint="eastAsia" w:ascii="仿宋_GB2312" w:hAnsi="宋体" w:eastAsia="仿宋_GB2312"/>
          <w:color w:val="000000"/>
          <w:sz w:val="24"/>
          <w:szCs w:val="21"/>
        </w:rPr>
        <w:t>汉语基础考试由“汉语语言学基础知识</w:t>
      </w:r>
      <w:r>
        <w:rPr>
          <w:rFonts w:ascii="仿宋_GB2312" w:hAnsi="宋体" w:eastAsia="仿宋_GB2312"/>
          <w:color w:val="000000"/>
          <w:sz w:val="24"/>
          <w:szCs w:val="21"/>
        </w:rPr>
        <w:t>”</w:t>
      </w:r>
      <w:r>
        <w:rPr>
          <w:rFonts w:hint="eastAsia" w:ascii="仿宋_GB2312" w:hAnsi="宋体" w:eastAsia="仿宋_GB2312"/>
          <w:color w:val="000000"/>
          <w:sz w:val="24"/>
          <w:szCs w:val="21"/>
        </w:rPr>
        <w:t>、“汉语语言分析”和“汉语应用能力</w:t>
      </w:r>
      <w:r>
        <w:rPr>
          <w:rFonts w:ascii="仿宋_GB2312" w:hAnsi="宋体" w:eastAsia="仿宋_GB2312"/>
          <w:color w:val="000000"/>
          <w:sz w:val="24"/>
          <w:szCs w:val="21"/>
        </w:rPr>
        <w:t>”</w:t>
      </w:r>
      <w:r>
        <w:rPr>
          <w:rFonts w:hint="eastAsia" w:ascii="仿宋_GB2312" w:hAnsi="宋体" w:eastAsia="仿宋_GB2312"/>
          <w:color w:val="000000"/>
          <w:sz w:val="24"/>
          <w:szCs w:val="21"/>
        </w:rPr>
        <w:t>三部分组成。</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（一）汉语语言学基础知识</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汉语语言学基础知识部分测试以下内容：</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1.语言学基础</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2.汉语概况</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3.现代汉语语音</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4.现代汉语词汇</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5.现代汉语语法</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6.汉字</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7.古代汉语</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（二）汉语语言分析</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汉语语言分析考试测试以下内容：</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1.语音分析</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2.词义分析</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3.语法分析</w:t>
      </w:r>
    </w:p>
    <w:p>
      <w:pPr>
        <w:spacing w:before="156" w:beforeLines="50" w:after="156" w:afterLines="50" w:line="400" w:lineRule="exact"/>
        <w:ind w:firstLine="480" w:firstLineChars="150"/>
        <w:rPr>
          <w:rFonts w:hint="eastAsia" w:ascii="微软雅黑" w:hAnsi="微软雅黑" w:eastAsia="微软雅黑"/>
          <w:b/>
          <w:color w:val="000000"/>
          <w:sz w:val="32"/>
          <w:szCs w:val="32"/>
        </w:rPr>
      </w:pPr>
      <w:r>
        <w:rPr>
          <w:rFonts w:hint="eastAsia" w:ascii="微软雅黑" w:hAnsi="微软雅黑" w:eastAsia="微软雅黑"/>
          <w:b/>
          <w:color w:val="000000"/>
          <w:sz w:val="32"/>
        </w:rPr>
        <w:t>（三）</w:t>
      </w:r>
      <w:r>
        <w:rPr>
          <w:rFonts w:hint="eastAsia" w:ascii="微软雅黑" w:hAnsi="微软雅黑" w:eastAsia="微软雅黑"/>
          <w:b/>
          <w:color w:val="000000"/>
          <w:sz w:val="32"/>
          <w:szCs w:val="32"/>
        </w:rPr>
        <w:t>汉语应用能力</w:t>
      </w:r>
    </w:p>
    <w:p>
      <w:pPr>
        <w:spacing w:before="156" w:beforeLines="50" w:after="156" w:afterLines="50" w:line="400" w:lineRule="exact"/>
        <w:ind w:firstLine="602" w:firstLineChars="250"/>
        <w:rPr>
          <w:rFonts w:hint="eastAsia" w:ascii="华文仿宋" w:hAnsi="华文仿宋" w:eastAsia="华文仿宋"/>
          <w:b/>
          <w:color w:val="000000"/>
          <w:sz w:val="24"/>
        </w:rPr>
      </w:pPr>
      <w:r>
        <w:rPr>
          <w:rFonts w:hint="eastAsia" w:ascii="华文仿宋" w:hAnsi="华文仿宋" w:eastAsia="华文仿宋"/>
          <w:b/>
          <w:color w:val="000000"/>
          <w:sz w:val="24"/>
        </w:rPr>
        <w:t>1. 思辨题</w:t>
      </w:r>
    </w:p>
    <w:p>
      <w:pPr>
        <w:spacing w:before="156" w:beforeLines="50" w:after="156" w:afterLines="50" w:line="400" w:lineRule="exact"/>
        <w:ind w:firstLine="602" w:firstLineChars="250"/>
        <w:rPr>
          <w:rFonts w:hint="eastAsia" w:ascii="华文仿宋" w:hAnsi="华文仿宋" w:eastAsia="华文仿宋"/>
          <w:b/>
          <w:color w:val="000000"/>
          <w:sz w:val="24"/>
        </w:rPr>
      </w:pPr>
      <w:r>
        <w:rPr>
          <w:rFonts w:hint="eastAsia" w:ascii="华文仿宋" w:hAnsi="华文仿宋" w:eastAsia="华文仿宋"/>
          <w:b/>
          <w:color w:val="000000"/>
          <w:sz w:val="24"/>
        </w:rPr>
        <w:t xml:space="preserve">2. 写作 </w:t>
      </w:r>
    </w:p>
    <w:p>
      <w:pPr>
        <w:spacing w:before="156" w:beforeLines="50" w:after="156" w:afterLines="50"/>
        <w:rPr>
          <w:rFonts w:hint="eastAsia" w:ascii="微软雅黑" w:hAnsi="微软雅黑" w:eastAsia="微软雅黑"/>
          <w:b/>
          <w:color w:val="000000"/>
          <w:sz w:val="36"/>
          <w:szCs w:val="28"/>
        </w:rPr>
      </w:pPr>
      <w:r>
        <w:rPr>
          <w:rFonts w:hint="eastAsia" w:ascii="微软雅黑" w:hAnsi="微软雅黑" w:eastAsia="微软雅黑"/>
          <w:b/>
          <w:color w:val="000000"/>
          <w:sz w:val="36"/>
          <w:szCs w:val="28"/>
        </w:rPr>
        <w:t>四、考试形式和试卷结构</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（一）考试时间</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考试时间为180分钟。</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（二）答题方式</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答题方式为闭卷、笔试。</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试卷由试题和答题纸组成。答案必须写在答题纸相应的位置上。</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（三）试卷满分及考查内容分数分配</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试卷满分为150分。其中汉语语言学基础知识40分，汉语语言分析50分，汉语应用能力60分。</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（四）试卷题型比例</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1. 汉语语言学基础知识   40分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判断正误10题，每小题1分，共10分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简答题4题，每小题5分，共20分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古文今译1题，共10分</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2. 汉语语言分析         50分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语音分析题（填空题、选择题、判断题等），共5分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词语辨析题，共20分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语法分析题（辨别词性、句子分析），共15分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病句修改题，共10分</w:t>
      </w:r>
    </w:p>
    <w:p>
      <w:pPr>
        <w:spacing w:line="400" w:lineRule="exact"/>
        <w:ind w:firstLine="465"/>
        <w:rPr>
          <w:rFonts w:hint="eastAsia" w:ascii="仿宋_GB2312" w:hAnsi="宋体" w:eastAsia="仿宋_GB2312"/>
          <w:color w:val="000000"/>
          <w:sz w:val="24"/>
          <w:szCs w:val="21"/>
        </w:rPr>
      </w:pPr>
      <w:r>
        <w:rPr>
          <w:rFonts w:hint="eastAsia" w:ascii="仿宋_GB2312" w:hAnsi="宋体" w:eastAsia="仿宋_GB2312"/>
          <w:color w:val="000000"/>
          <w:sz w:val="24"/>
          <w:szCs w:val="21"/>
        </w:rPr>
        <w:t>3. 汉语应用能力60分</w:t>
      </w:r>
    </w:p>
    <w:p>
      <w:pPr>
        <w:spacing w:line="400" w:lineRule="exact"/>
        <w:ind w:firstLine="700" w:firstLineChars="292"/>
        <w:rPr>
          <w:rFonts w:hint="eastAsia" w:ascii="仿宋_GB2312" w:hAnsi="宋体" w:eastAsia="仿宋_GB2312"/>
          <w:color w:val="000000"/>
          <w:sz w:val="24"/>
          <w:szCs w:val="21"/>
        </w:rPr>
      </w:pPr>
      <w:r>
        <w:rPr>
          <w:rFonts w:hint="eastAsia" w:ascii="仿宋_GB2312" w:hAnsi="宋体" w:eastAsia="仿宋_GB2312"/>
          <w:color w:val="000000"/>
          <w:sz w:val="24"/>
          <w:szCs w:val="21"/>
        </w:rPr>
        <w:t>思辨题1题20分</w:t>
      </w:r>
    </w:p>
    <w:p>
      <w:pPr>
        <w:spacing w:line="400" w:lineRule="exact"/>
        <w:ind w:firstLine="700" w:firstLineChars="292"/>
        <w:rPr>
          <w:rFonts w:hint="eastAsia" w:ascii="仿宋_GB2312" w:hAnsi="宋体" w:eastAsia="仿宋_GB2312"/>
          <w:color w:val="000000"/>
          <w:sz w:val="24"/>
          <w:szCs w:val="21"/>
        </w:rPr>
      </w:pPr>
      <w:r>
        <w:rPr>
          <w:rFonts w:hint="eastAsia" w:ascii="仿宋_GB2312" w:hAnsi="宋体" w:eastAsia="仿宋_GB2312"/>
          <w:color w:val="000000"/>
          <w:sz w:val="24"/>
          <w:szCs w:val="21"/>
        </w:rPr>
        <w:t>材料作文或命题作文选其一，字数在1000字以上，40分。</w:t>
      </w:r>
    </w:p>
    <w:p>
      <w:pPr>
        <w:spacing w:before="156" w:beforeLines="50" w:after="156" w:afterLines="50"/>
        <w:rPr>
          <w:rFonts w:hint="eastAsia"/>
          <w:color w:val="000000"/>
        </w:rPr>
      </w:pPr>
      <w:r>
        <w:rPr>
          <w:rFonts w:hint="eastAsia" w:ascii="微软雅黑" w:hAnsi="微软雅黑" w:eastAsia="微软雅黑"/>
          <w:b/>
          <w:color w:val="000000"/>
          <w:sz w:val="36"/>
          <w:szCs w:val="28"/>
        </w:rPr>
        <w:t>五、参考书目</w:t>
      </w:r>
    </w:p>
    <w:p>
      <w:pPr>
        <w:pStyle w:val="4"/>
        <w:spacing w:before="100" w:beforeAutospacing="1" w:after="100" w:afterAutospacing="1" w:line="23" w:lineRule="atLeast"/>
        <w:rPr>
          <w:color w:val="000000"/>
        </w:rPr>
      </w:pPr>
      <w:r>
        <w:rPr>
          <w:rFonts w:hint="eastAsia"/>
          <w:color w:val="000000"/>
        </w:rPr>
        <w:t>1.</w:t>
      </w:r>
      <w:r>
        <w:rPr>
          <w:color w:val="000000"/>
        </w:rPr>
        <w:t>《现代汉语</w:t>
      </w:r>
      <w:r>
        <w:rPr>
          <w:rFonts w:hint="eastAsia"/>
          <w:color w:val="000000"/>
        </w:rPr>
        <w:t>》</w:t>
      </w:r>
      <w:r>
        <w:rPr>
          <w:color w:val="000000"/>
        </w:rPr>
        <w:t>2012（增订版）黄伯荣</w:t>
      </w:r>
      <w:r>
        <w:rPr>
          <w:rFonts w:hint="eastAsia"/>
          <w:color w:val="000000"/>
        </w:rPr>
        <w:t xml:space="preserve"> </w:t>
      </w:r>
      <w:r>
        <w:rPr>
          <w:color w:val="000000"/>
        </w:rPr>
        <w:t>廖序东主编</w:t>
      </w:r>
      <w:r>
        <w:rPr>
          <w:rFonts w:hint="eastAsia"/>
          <w:color w:val="000000"/>
        </w:rPr>
        <w:t xml:space="preserve"> </w:t>
      </w:r>
      <w:r>
        <w:rPr>
          <w:color w:val="000000"/>
        </w:rPr>
        <w:t>高等教育出版社</w:t>
      </w:r>
    </w:p>
    <w:p>
      <w:pPr>
        <w:pStyle w:val="4"/>
        <w:spacing w:before="100" w:beforeAutospacing="1" w:after="100" w:afterAutospacing="1" w:line="23" w:lineRule="atLeast"/>
        <w:rPr>
          <w:color w:val="000000"/>
        </w:rPr>
      </w:pPr>
      <w:r>
        <w:rPr>
          <w:color w:val="000000"/>
        </w:rPr>
        <w:t>2.《语言学纲要》2010</w:t>
      </w:r>
      <w:r>
        <w:rPr>
          <w:rFonts w:hint="eastAsia"/>
          <w:color w:val="000000"/>
        </w:rPr>
        <w:t>(</w:t>
      </w:r>
      <w:r>
        <w:rPr>
          <w:color w:val="000000"/>
        </w:rPr>
        <w:t>修订版）叶蜚声</w:t>
      </w:r>
      <w:r>
        <w:rPr>
          <w:rFonts w:hint="eastAsia"/>
          <w:color w:val="000000"/>
        </w:rPr>
        <w:t xml:space="preserve"> </w:t>
      </w:r>
      <w:r>
        <w:rPr>
          <w:color w:val="000000"/>
        </w:rPr>
        <w:t>徐通锵</w:t>
      </w:r>
      <w:r>
        <w:rPr>
          <w:rFonts w:hint="eastAsia"/>
          <w:color w:val="000000"/>
        </w:rPr>
        <w:t xml:space="preserve"> </w:t>
      </w:r>
      <w:r>
        <w:rPr>
          <w:color w:val="000000"/>
        </w:rPr>
        <w:t>北京大学出版社</w:t>
      </w:r>
    </w:p>
    <w:p>
      <w:pPr>
        <w:pStyle w:val="4"/>
        <w:spacing w:before="100" w:beforeAutospacing="1" w:after="100" w:afterAutospacing="1" w:line="23" w:lineRule="atLeast"/>
        <w:rPr>
          <w:color w:val="000000"/>
        </w:rPr>
      </w:pPr>
      <w:r>
        <w:rPr>
          <w:color w:val="000000"/>
        </w:rPr>
        <w:t>3.</w:t>
      </w:r>
      <w:r>
        <w:rPr>
          <w:rFonts w:hint="eastAsia"/>
          <w:color w:val="000000"/>
        </w:rPr>
        <w:t>《</w:t>
      </w:r>
      <w:r>
        <w:rPr>
          <w:color w:val="000000"/>
        </w:rPr>
        <w:t>古代汉语》1999</w:t>
      </w:r>
      <w:r>
        <w:rPr>
          <w:rFonts w:hint="eastAsia"/>
          <w:color w:val="000000"/>
        </w:rPr>
        <w:t xml:space="preserve"> </w:t>
      </w:r>
      <w:r>
        <w:rPr>
          <w:color w:val="000000"/>
        </w:rPr>
        <w:t>王力</w:t>
      </w:r>
      <w:r>
        <w:rPr>
          <w:rFonts w:hint="eastAsia"/>
          <w:color w:val="000000"/>
        </w:rPr>
        <w:t xml:space="preserve"> </w:t>
      </w:r>
      <w:r>
        <w:rPr>
          <w:color w:val="000000"/>
        </w:rPr>
        <w:t>中华书局</w:t>
      </w:r>
    </w:p>
    <w:p>
      <w:pPr>
        <w:spacing w:line="400" w:lineRule="exact"/>
        <w:ind w:firstLine="700" w:firstLineChars="292"/>
        <w:rPr>
          <w:rFonts w:hint="eastAsia" w:ascii="仿宋_GB2312" w:hAnsi="宋体" w:eastAsia="仿宋_GB2312"/>
          <w:color w:val="000000"/>
          <w:sz w:val="24"/>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fldChar w:fldCharType="begin"/>
    </w:r>
    <w:r>
      <w:rPr>
        <w:rStyle w:val="11"/>
      </w:rPr>
      <w:instrText xml:space="preserve">PAGE  </w:instrText>
    </w:r>
    <w:r>
      <w:fldChar w:fldCharType="separate"/>
    </w:r>
    <w:r>
      <w:rPr>
        <w:rStyle w:val="11"/>
        <w:lang/>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fldChar w:fldCharType="begin"/>
    </w:r>
    <w:r>
      <w:rPr>
        <w:rStyle w:val="11"/>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8E"/>
    <w:rsid w:val="00017D54"/>
    <w:rsid w:val="00032713"/>
    <w:rsid w:val="00034644"/>
    <w:rsid w:val="00036194"/>
    <w:rsid w:val="00046C36"/>
    <w:rsid w:val="00052AD5"/>
    <w:rsid w:val="0005773A"/>
    <w:rsid w:val="00061B7C"/>
    <w:rsid w:val="000E66FB"/>
    <w:rsid w:val="00100B7E"/>
    <w:rsid w:val="00110263"/>
    <w:rsid w:val="00152FC6"/>
    <w:rsid w:val="00157158"/>
    <w:rsid w:val="001727D1"/>
    <w:rsid w:val="00183EB9"/>
    <w:rsid w:val="0018553B"/>
    <w:rsid w:val="001902D6"/>
    <w:rsid w:val="00190807"/>
    <w:rsid w:val="001B2433"/>
    <w:rsid w:val="001D0CCE"/>
    <w:rsid w:val="001D3BB5"/>
    <w:rsid w:val="0022353C"/>
    <w:rsid w:val="0022702B"/>
    <w:rsid w:val="00233CD6"/>
    <w:rsid w:val="00234B0E"/>
    <w:rsid w:val="00242563"/>
    <w:rsid w:val="00246EEC"/>
    <w:rsid w:val="002536CE"/>
    <w:rsid w:val="00256301"/>
    <w:rsid w:val="00257EAF"/>
    <w:rsid w:val="00264124"/>
    <w:rsid w:val="00283C7F"/>
    <w:rsid w:val="0029258D"/>
    <w:rsid w:val="002B2569"/>
    <w:rsid w:val="002D27DC"/>
    <w:rsid w:val="002D397E"/>
    <w:rsid w:val="002F2DB3"/>
    <w:rsid w:val="00306735"/>
    <w:rsid w:val="00336AE9"/>
    <w:rsid w:val="00362618"/>
    <w:rsid w:val="00364632"/>
    <w:rsid w:val="0036572F"/>
    <w:rsid w:val="00384CF6"/>
    <w:rsid w:val="003A4B4B"/>
    <w:rsid w:val="003B298B"/>
    <w:rsid w:val="003D2540"/>
    <w:rsid w:val="003D4145"/>
    <w:rsid w:val="003E398E"/>
    <w:rsid w:val="003F39EC"/>
    <w:rsid w:val="004161D5"/>
    <w:rsid w:val="00421F17"/>
    <w:rsid w:val="00424B28"/>
    <w:rsid w:val="004338CE"/>
    <w:rsid w:val="00436E70"/>
    <w:rsid w:val="0044372C"/>
    <w:rsid w:val="00462CB4"/>
    <w:rsid w:val="004711E8"/>
    <w:rsid w:val="0048685F"/>
    <w:rsid w:val="004951C2"/>
    <w:rsid w:val="004A7259"/>
    <w:rsid w:val="004B2869"/>
    <w:rsid w:val="004C6469"/>
    <w:rsid w:val="004C6B1A"/>
    <w:rsid w:val="004D1CEC"/>
    <w:rsid w:val="004D3DB4"/>
    <w:rsid w:val="004F16A9"/>
    <w:rsid w:val="004F4985"/>
    <w:rsid w:val="005012F7"/>
    <w:rsid w:val="00502C47"/>
    <w:rsid w:val="00504D4A"/>
    <w:rsid w:val="005A20EF"/>
    <w:rsid w:val="005A2DF0"/>
    <w:rsid w:val="005A4BD9"/>
    <w:rsid w:val="005A5631"/>
    <w:rsid w:val="005A7694"/>
    <w:rsid w:val="005B3310"/>
    <w:rsid w:val="005D3D4D"/>
    <w:rsid w:val="005E6E02"/>
    <w:rsid w:val="00602AF7"/>
    <w:rsid w:val="00612CC8"/>
    <w:rsid w:val="006243BC"/>
    <w:rsid w:val="00637AED"/>
    <w:rsid w:val="006511B3"/>
    <w:rsid w:val="00693B77"/>
    <w:rsid w:val="0071443B"/>
    <w:rsid w:val="00721228"/>
    <w:rsid w:val="00734775"/>
    <w:rsid w:val="0075269C"/>
    <w:rsid w:val="00782019"/>
    <w:rsid w:val="00785B8B"/>
    <w:rsid w:val="007A1AAF"/>
    <w:rsid w:val="007C3242"/>
    <w:rsid w:val="00827F1D"/>
    <w:rsid w:val="00832F9F"/>
    <w:rsid w:val="008444C5"/>
    <w:rsid w:val="00847187"/>
    <w:rsid w:val="00855830"/>
    <w:rsid w:val="00855DFE"/>
    <w:rsid w:val="008610A1"/>
    <w:rsid w:val="00885D7C"/>
    <w:rsid w:val="00886A4F"/>
    <w:rsid w:val="00890484"/>
    <w:rsid w:val="008A7361"/>
    <w:rsid w:val="008B2110"/>
    <w:rsid w:val="008C0C74"/>
    <w:rsid w:val="008D1718"/>
    <w:rsid w:val="008D1BFE"/>
    <w:rsid w:val="008F1DD9"/>
    <w:rsid w:val="00925E42"/>
    <w:rsid w:val="009359A3"/>
    <w:rsid w:val="00946C09"/>
    <w:rsid w:val="00963165"/>
    <w:rsid w:val="00972336"/>
    <w:rsid w:val="00987022"/>
    <w:rsid w:val="00996A84"/>
    <w:rsid w:val="009A37EF"/>
    <w:rsid w:val="009A65F3"/>
    <w:rsid w:val="009A7647"/>
    <w:rsid w:val="009A7F8C"/>
    <w:rsid w:val="009D45E0"/>
    <w:rsid w:val="00A40992"/>
    <w:rsid w:val="00A6735F"/>
    <w:rsid w:val="00A70F62"/>
    <w:rsid w:val="00A714D4"/>
    <w:rsid w:val="00A73F47"/>
    <w:rsid w:val="00AA3680"/>
    <w:rsid w:val="00AB16CF"/>
    <w:rsid w:val="00AB541C"/>
    <w:rsid w:val="00AD0480"/>
    <w:rsid w:val="00AE1359"/>
    <w:rsid w:val="00AE73B4"/>
    <w:rsid w:val="00B13E6C"/>
    <w:rsid w:val="00B24475"/>
    <w:rsid w:val="00B50159"/>
    <w:rsid w:val="00B53E81"/>
    <w:rsid w:val="00B620D1"/>
    <w:rsid w:val="00B7652E"/>
    <w:rsid w:val="00B85740"/>
    <w:rsid w:val="00BA0BFC"/>
    <w:rsid w:val="00BB0479"/>
    <w:rsid w:val="00BF2E6A"/>
    <w:rsid w:val="00BF3AC0"/>
    <w:rsid w:val="00C31C14"/>
    <w:rsid w:val="00C52B40"/>
    <w:rsid w:val="00C5548E"/>
    <w:rsid w:val="00C55BDB"/>
    <w:rsid w:val="00C624B8"/>
    <w:rsid w:val="00C718AE"/>
    <w:rsid w:val="00C93C79"/>
    <w:rsid w:val="00CC50AD"/>
    <w:rsid w:val="00CE5111"/>
    <w:rsid w:val="00CF03BF"/>
    <w:rsid w:val="00D02FA3"/>
    <w:rsid w:val="00D10550"/>
    <w:rsid w:val="00D26398"/>
    <w:rsid w:val="00D30C29"/>
    <w:rsid w:val="00D35524"/>
    <w:rsid w:val="00D41AC5"/>
    <w:rsid w:val="00D52C21"/>
    <w:rsid w:val="00D73A36"/>
    <w:rsid w:val="00D76514"/>
    <w:rsid w:val="00D77A7A"/>
    <w:rsid w:val="00DA5686"/>
    <w:rsid w:val="00DA68D7"/>
    <w:rsid w:val="00DB27E4"/>
    <w:rsid w:val="00DF310C"/>
    <w:rsid w:val="00E0645D"/>
    <w:rsid w:val="00E1099D"/>
    <w:rsid w:val="00E24D13"/>
    <w:rsid w:val="00E3567F"/>
    <w:rsid w:val="00E42155"/>
    <w:rsid w:val="00E508D7"/>
    <w:rsid w:val="00E6168A"/>
    <w:rsid w:val="00E63B20"/>
    <w:rsid w:val="00E90D72"/>
    <w:rsid w:val="00E961EE"/>
    <w:rsid w:val="00EA5031"/>
    <w:rsid w:val="00EA74B8"/>
    <w:rsid w:val="00EB3412"/>
    <w:rsid w:val="00EF0BCC"/>
    <w:rsid w:val="00EF1E87"/>
    <w:rsid w:val="00F05429"/>
    <w:rsid w:val="00F144BF"/>
    <w:rsid w:val="00F20415"/>
    <w:rsid w:val="00F55E5B"/>
    <w:rsid w:val="00F5744B"/>
    <w:rsid w:val="00FB1ED4"/>
    <w:rsid w:val="00FC647F"/>
    <w:rsid w:val="00FD52D7"/>
    <w:rsid w:val="00FE3A0D"/>
    <w:rsid w:val="190D0DAB"/>
    <w:rsid w:val="32C50AA0"/>
    <w:rsid w:val="42EA4BD5"/>
    <w:rsid w:val="47A87722"/>
    <w:rsid w:val="5B8775CE"/>
    <w:rsid w:val="5E9900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cs="宋体"/>
      <w:kern w:val="0"/>
      <w:sz w:val="24"/>
    </w:rPr>
  </w:style>
  <w:style w:type="table" w:styleId="6">
    <w:name w:val="Table Grid"/>
    <w:basedOn w:val="5"/>
    <w:uiPriority w:val="0"/>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
    <w:name w:val="Table Simple 1"/>
    <w:basedOn w:val="5"/>
    <w:uiPriority w:val="0"/>
    <w:pPr>
      <w:widowControl w:val="0"/>
      <w:jc w:val="both"/>
    </w:pPr>
    <w:tblPr>
      <w:tblStyle w:val="5"/>
      <w:tblBorders>
        <w:top w:val="single" w:color="008000" w:sz="12" w:space="0"/>
        <w:bottom w:val="single" w:color="008000" w:sz="12" w:space="0"/>
      </w:tblBorders>
    </w:tblPr>
    <w:tcPr>
      <w:shd w:val="clear" w:color="auto" w:fill="auto"/>
    </w:tcPr>
    <w:tblStylePr w:type="firstRow">
      <w:tblPr>
        <w:tblStyle w:val="5"/>
      </w:tblPr>
      <w:tcPr>
        <w:tcBorders>
          <w:top w:val="nil"/>
          <w:left w:val="single" w:color="008000" w:sz="6" w:space="0"/>
          <w:bottom w:val="nil"/>
          <w:right w:val="nil"/>
          <w:insideH w:val="nil"/>
          <w:insideV w:val="nil"/>
          <w:tl2br w:val="nil"/>
          <w:tr2bl w:val="nil"/>
        </w:tcBorders>
      </w:tcPr>
    </w:tblStylePr>
    <w:tblStylePr w:type="lastRow">
      <w:tblPr>
        <w:tblStyle w:val="5"/>
      </w:tblPr>
      <w:tcPr>
        <w:tcBorders>
          <w:top w:val="single" w:color="008000" w:sz="6" w:space="0"/>
          <w:left w:val="nil"/>
          <w:bottom w:val="nil"/>
          <w:right w:val="nil"/>
          <w:insideH w:val="nil"/>
          <w:insideV w:val="nil"/>
          <w:tl2br w:val="nil"/>
          <w:tr2bl w:val="nil"/>
        </w:tcBorders>
      </w:tcPr>
    </w:tblStylePr>
  </w:style>
  <w:style w:type="table" w:styleId="8">
    <w:name w:val="Table List 3"/>
    <w:basedOn w:val="5"/>
    <w:uiPriority w:val="0"/>
    <w:pPr>
      <w:widowControl w:val="0"/>
      <w:jc w:val="both"/>
    </w:pPr>
    <w:tblPr>
      <w:tblStyle w:val="5"/>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blStyle w:val="5"/>
      </w:tblPr>
      <w:tcPr>
        <w:tcBorders>
          <w:top w:val="nil"/>
          <w:left w:val="single" w:color="000000" w:sz="12" w:space="0"/>
          <w:bottom w:val="nil"/>
          <w:right w:val="nil"/>
          <w:insideH w:val="nil"/>
          <w:insideV w:val="nil"/>
          <w:tl2br w:val="nil"/>
          <w:tr2bl w:val="nil"/>
        </w:tcBorders>
      </w:tcPr>
    </w:tblStylePr>
    <w:tblStylePr w:type="lastRow">
      <w:tblPr>
        <w:tblStyle w:val="5"/>
      </w:tblPr>
      <w:tcPr>
        <w:tcBorders>
          <w:top w:val="single" w:color="000000" w:sz="12" w:space="0"/>
          <w:left w:val="nil"/>
          <w:bottom w:val="nil"/>
          <w:right w:val="nil"/>
          <w:insideH w:val="nil"/>
          <w:insideV w:val="nil"/>
          <w:tl2br w:val="nil"/>
          <w:tr2bl w:val="nil"/>
        </w:tcBorders>
      </w:tcPr>
    </w:tblStylePr>
    <w:tblStylePr w:type="swCell">
      <w:rPr>
        <w:i/>
        <w:iCs/>
        <w:color w:val="000080"/>
      </w:rPr>
      <w:tblPr>
        <w:tblStyle w:val="5"/>
      </w:tblPr>
      <w:tcPr>
        <w:tcBorders>
          <w:top w:val="nil"/>
          <w:left w:val="nil"/>
          <w:bottom w:val="nil"/>
          <w:right w:val="nil"/>
          <w:insideH w:val="nil"/>
          <w:insideV w:val="nil"/>
          <w:tl2br w:val="nil"/>
          <w:tr2bl w:val="nil"/>
        </w:tcBorders>
      </w:tcPr>
    </w:tblStylePr>
  </w:style>
  <w:style w:type="character" w:styleId="10">
    <w:name w:val="Strong"/>
    <w:qFormat/>
    <w:uiPriority w:val="0"/>
    <w:rPr>
      <w:b/>
      <w:bCs/>
    </w:rPr>
  </w:style>
  <w:style w:type="character" w:styleId="11">
    <w:name w:val="page number"/>
    <w:basedOn w:val="9"/>
    <w:uiPriority w:val="0"/>
  </w:style>
  <w:style w:type="character" w:styleId="12">
    <w:name w:val="Emphasis"/>
    <w:qFormat/>
    <w:uiPriority w:val="20"/>
    <w:rPr>
      <w:color w:val="CC0033"/>
    </w:rPr>
  </w:style>
  <w:style w:type="character" w:customStyle="1" w:styleId="13">
    <w:name w:val="页眉 字符"/>
    <w:link w:val="3"/>
    <w:uiPriority w:val="0"/>
    <w:rPr>
      <w:kern w:val="2"/>
      <w:sz w:val="18"/>
      <w:szCs w:val="18"/>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p01"/>
    <w:basedOn w:val="1"/>
    <w:uiPriority w:val="0"/>
    <w:pPr>
      <w:widowControl/>
      <w:wordWrap w:val="0"/>
      <w:spacing w:before="150" w:after="100" w:afterAutospacing="1" w:line="432" w:lineRule="auto"/>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beida</Company>
  <Pages>3</Pages>
  <Words>141</Words>
  <Characters>804</Characters>
  <Lines>6</Lines>
  <Paragraphs>1</Paragraphs>
  <TotalTime>0</TotalTime>
  <ScaleCrop>false</ScaleCrop>
  <LinksUpToDate>false</LinksUpToDate>
  <CharactersWithSpaces>944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2017-06-28T13:24:00Z</dcterms:created>
  <dc:creator>zhuxiaoya</dc:creator>
  <cp:lastModifiedBy>vertesyuan</cp:lastModifiedBy>
  <cp:lastPrinted>2017-06-28T13:37:00Z</cp:lastPrinted>
  <dcterms:modified xsi:type="dcterms:W3CDTF">2022-09-21T07:05:08Z</dcterms:modified>
  <dc:title>汉语国际教育硕士入学考试大纲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132A1B26D9EF4B99BA43322EE2FE2AB1</vt:lpwstr>
  </property>
</Properties>
</file>