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ascii="宋体" w:hAnsi="宋体"/>
          <w:b/>
          <w:sz w:val="36"/>
          <w:szCs w:val="36"/>
        </w:rPr>
      </w:pPr>
      <w:bookmarkStart w:id="0" w:name="_GoBack"/>
      <w:bookmarkEnd w:id="0"/>
      <w:r>
        <w:rPr>
          <w:rFonts w:hint="eastAsia" w:ascii="宋体" w:hAnsi="宋体"/>
          <w:b/>
          <w:sz w:val="36"/>
          <w:szCs w:val="36"/>
        </w:rPr>
        <w:t>南华大学</w:t>
      </w:r>
      <w:r>
        <w:rPr>
          <w:rFonts w:ascii="宋体" w:hAnsi="宋体"/>
          <w:b/>
          <w:sz w:val="36"/>
          <w:szCs w:val="36"/>
        </w:rPr>
        <w:t>20</w:t>
      </w:r>
      <w:r>
        <w:rPr>
          <w:rFonts w:hint="eastAsia" w:ascii="宋体" w:hAnsi="宋体"/>
          <w:b/>
          <w:sz w:val="36"/>
          <w:szCs w:val="36"/>
        </w:rPr>
        <w:t>2</w:t>
      </w:r>
      <w:r>
        <w:rPr>
          <w:rFonts w:hint="eastAsia" w:ascii="宋体" w:hAnsi="宋体"/>
          <w:b/>
          <w:sz w:val="36"/>
          <w:szCs w:val="36"/>
          <w:lang w:val="en-US" w:eastAsia="zh-CN"/>
        </w:rPr>
        <w:t>3</w:t>
      </w:r>
      <w:r>
        <w:rPr>
          <w:rFonts w:hint="eastAsia" w:ascii="宋体" w:hAnsi="宋体"/>
          <w:b/>
          <w:sz w:val="36"/>
          <w:szCs w:val="36"/>
        </w:rPr>
        <w:t>年硕士研究生入学考试</w:t>
      </w:r>
      <w:r>
        <w:rPr>
          <w:rFonts w:hint="eastAsia" w:ascii="宋体" w:hAnsi="宋体"/>
          <w:b/>
          <w:color w:val="FF0000"/>
          <w:sz w:val="36"/>
          <w:szCs w:val="36"/>
        </w:rPr>
        <w:t>初试科目</w:t>
      </w:r>
      <w:r>
        <w:rPr>
          <w:rFonts w:hint="eastAsia" w:ascii="宋体" w:hAnsi="宋体"/>
          <w:b/>
          <w:sz w:val="36"/>
          <w:szCs w:val="36"/>
        </w:rPr>
        <w:t>大纲</w:t>
      </w:r>
    </w:p>
    <w:tbl>
      <w:tblPr>
        <w:tblStyle w:val="7"/>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611"/>
        <w:gridCol w:w="1620"/>
        <w:gridCol w:w="39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b/>
                <w:szCs w:val="21"/>
              </w:rPr>
            </w:pPr>
            <w:r>
              <w:rPr>
                <w:rFonts w:hint="eastAsia" w:ascii="宋体" w:hAnsi="宋体"/>
                <w:b/>
                <w:szCs w:val="21"/>
              </w:rPr>
              <w:t>招生学院</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b/>
                <w:szCs w:val="21"/>
              </w:rPr>
            </w:pPr>
            <w:r>
              <w:rPr>
                <w:rFonts w:hint="eastAsia" w:ascii="宋体" w:hAnsi="宋体"/>
                <w:b/>
                <w:szCs w:val="21"/>
              </w:rPr>
              <w:t>招生专业代码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b/>
                <w:szCs w:val="21"/>
              </w:rPr>
            </w:pPr>
            <w:r>
              <w:rPr>
                <w:rFonts w:hint="eastAsia" w:ascii="宋体" w:hAnsi="宋体"/>
                <w:b/>
                <w:szCs w:val="21"/>
              </w:rPr>
              <w:t>招生专业名称</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b/>
                <w:szCs w:val="21"/>
              </w:rPr>
            </w:pPr>
            <w:r>
              <w:rPr>
                <w:rFonts w:hint="eastAsia" w:ascii="宋体" w:hAnsi="宋体"/>
                <w:b/>
                <w:szCs w:val="21"/>
              </w:rPr>
              <w:t>考试科目代码及名称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4"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药学院</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wordWrap w:val="0"/>
              <w:spacing w:line="288" w:lineRule="auto"/>
              <w:jc w:val="center"/>
              <w:rPr>
                <w:rFonts w:hint="eastAsia" w:ascii="宋体" w:hAnsi="宋体"/>
                <w:sz w:val="24"/>
              </w:rPr>
            </w:pPr>
            <w:r>
              <w:rPr>
                <w:rFonts w:ascii="Arial" w:hAnsi="Arial" w:cs="Arial"/>
                <w:sz w:val="20"/>
                <w:szCs w:val="20"/>
              </w:rPr>
              <w:t>100700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ordWrap w:val="0"/>
              <w:spacing w:line="288" w:lineRule="auto"/>
              <w:jc w:val="center"/>
              <w:rPr>
                <w:rFonts w:hint="eastAsia" w:ascii="宋体" w:hAnsi="宋体"/>
                <w:sz w:val="24"/>
              </w:rPr>
            </w:pPr>
            <w:r>
              <w:rPr>
                <w:rFonts w:hint="eastAsia" w:ascii="宋体" w:hAnsi="宋体"/>
                <w:sz w:val="24"/>
              </w:rPr>
              <w:t>药学</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ordWrap w:val="0"/>
              <w:spacing w:line="288" w:lineRule="auto"/>
              <w:jc w:val="center"/>
              <w:rPr>
                <w:rFonts w:hint="eastAsia" w:ascii="宋体" w:hAnsi="宋体"/>
                <w:b/>
                <w:sz w:val="24"/>
              </w:rPr>
            </w:pPr>
            <w:r>
              <w:rPr>
                <w:rFonts w:hint="eastAsia" w:ascii="宋体" w:hAnsi="宋体"/>
                <w:b/>
                <w:sz w:val="24"/>
              </w:rPr>
              <w:t>724药学综合</w:t>
            </w:r>
            <w:r>
              <w:rPr>
                <w:rFonts w:hint="eastAsia" w:ascii="宋体" w:hAnsi="宋体"/>
                <w:b/>
                <w:sz w:val="24"/>
                <w:lang w:eastAsia="zh-CN"/>
              </w:rPr>
              <w:t>（</w:t>
            </w:r>
            <w:r>
              <w:rPr>
                <w:rFonts w:hint="eastAsia" w:ascii="宋体" w:hAnsi="宋体"/>
                <w:b/>
                <w:sz w:val="24"/>
                <w:lang w:val="en-US" w:eastAsia="zh-CN"/>
              </w:rPr>
              <w:t>自命题）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156"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top"/>
          </w:tcPr>
          <w:p>
            <w:pPr>
              <w:wordWrap w:val="0"/>
              <w:spacing w:line="288" w:lineRule="auto"/>
              <w:jc w:val="left"/>
              <w:rPr>
                <w:rFonts w:hint="eastAsia" w:ascii="宋体" w:hAnsi="宋体"/>
                <w:b/>
                <w:sz w:val="24"/>
              </w:rPr>
            </w:pPr>
            <w:r>
              <w:rPr>
                <w:rFonts w:hint="eastAsia" w:ascii="宋体" w:hAnsi="宋体"/>
                <w:b/>
                <w:sz w:val="24"/>
              </w:rPr>
              <w:t>一、考试内容</w:t>
            </w:r>
          </w:p>
          <w:p>
            <w:pPr>
              <w:rPr>
                <w:rFonts w:hint="eastAsia" w:ascii="宋体" w:hAnsi="宋体"/>
                <w:sz w:val="24"/>
              </w:rPr>
            </w:pP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b/>
                <w:sz w:val="18"/>
                <w:szCs w:val="18"/>
              </w:rPr>
            </w:pPr>
            <w:r>
              <w:rPr>
                <w:rFonts w:hint="eastAsia" w:ascii="宋体" w:hAnsi="宋体"/>
                <w:b/>
                <w:szCs w:val="21"/>
              </w:rPr>
              <w:t>（一）分析化学部分</w:t>
            </w:r>
          </w:p>
          <w:p>
            <w:pPr>
              <w:rPr>
                <w:rFonts w:hint="eastAsia" w:ascii="宋体" w:hAnsi="宋体"/>
                <w:sz w:val="18"/>
                <w:szCs w:val="18"/>
              </w:rPr>
            </w:pPr>
            <w:r>
              <w:rPr>
                <w:rFonts w:hint="eastAsia" w:ascii="宋体" w:hAnsi="宋体"/>
                <w:b/>
                <w:sz w:val="18"/>
                <w:szCs w:val="18"/>
              </w:rPr>
              <w:t>1．定量分析化学概论及分析化学中的数据处理：</w:t>
            </w:r>
            <w:r>
              <w:rPr>
                <w:rFonts w:hint="eastAsia" w:ascii="宋体" w:hAnsi="宋体"/>
                <w:sz w:val="18"/>
                <w:szCs w:val="18"/>
              </w:rPr>
              <w:t>系统误差、随机误差的产生原因和减免方法；准确度、精密度及其相互关系。有效数字、有效数字位数确定、有效数字的运算法则和修约规则；绝对误差、相对误差、偏差、平均偏差、相对平均偏差、标准偏差、相对标准偏差的表示方法及其计算；平均值的置信区间计算；少量数据的统计处理；提高分析结果准确度方法。滴定分析法的分类及其对滴定反应的要求；直接法配制标准溶液的过程及物质的条件；间接法配制标准溶液的过程、基准物的条件及常用基准物。物质的量浓度和滴定度的表示及其计算；滴定分析结果的计算。</w:t>
            </w:r>
          </w:p>
          <w:p>
            <w:pPr>
              <w:rPr>
                <w:rFonts w:hint="eastAsia" w:ascii="宋体" w:hAnsi="宋体"/>
                <w:sz w:val="18"/>
                <w:szCs w:val="18"/>
              </w:rPr>
            </w:pPr>
            <w:r>
              <w:rPr>
                <w:rFonts w:hint="eastAsia" w:ascii="宋体" w:hAnsi="宋体"/>
                <w:b/>
                <w:sz w:val="18"/>
                <w:szCs w:val="18"/>
              </w:rPr>
              <w:t>2．酸碱滴定法：</w:t>
            </w:r>
            <w:r>
              <w:rPr>
                <w:rFonts w:hint="eastAsia" w:ascii="宋体" w:hAnsi="宋体"/>
                <w:sz w:val="18"/>
                <w:szCs w:val="18"/>
              </w:rPr>
              <w:t>酸碱质子理论中的酸碱定义、酸碱反应实质、酸碱离解常数，质子</w:t>
            </w:r>
            <w:r>
              <w:rPr>
                <w:rFonts w:hint="eastAsia" w:ascii="宋体" w:hAnsi="宋体"/>
                <w:sz w:val="18"/>
                <w:szCs w:val="18"/>
                <w:lang w:val="en-US" w:eastAsia="zh-CN"/>
              </w:rPr>
              <w:t>平衡</w:t>
            </w:r>
            <w:r>
              <w:rPr>
                <w:rFonts w:hint="eastAsia" w:ascii="宋体" w:hAnsi="宋体"/>
                <w:sz w:val="18"/>
                <w:szCs w:val="18"/>
              </w:rPr>
              <w:t>、物料平衡、电荷平衡。溶液的平衡浓度、分析浓度（总浓度）及表示，分布分数的定义和计算。一元弱酸（碱）、多元弱酸（碱）、两性物质、缓冲溶液pH值的计算。酸碱缓冲溶液的定义、缓冲范围、缓冲指数、缓冲容量等内容。滴定突跃及影响滴定突跃大小的因素及一元弱酸（碱）的准确滴定条件；指示剂的变色原理、理论变色范围、理论变色点和酚酞、甲基橙的实际变色范围和颜色变化情况；指示剂的选择原则。酸碱滴定分析结果的计算。</w:t>
            </w:r>
          </w:p>
          <w:p>
            <w:pPr>
              <w:rPr>
                <w:rFonts w:hint="eastAsia" w:ascii="宋体" w:hAnsi="宋体"/>
                <w:sz w:val="18"/>
                <w:szCs w:val="18"/>
              </w:rPr>
            </w:pPr>
            <w:r>
              <w:rPr>
                <w:rFonts w:hint="eastAsia" w:ascii="宋体" w:hAnsi="宋体"/>
                <w:b/>
                <w:sz w:val="18"/>
                <w:szCs w:val="18"/>
              </w:rPr>
              <w:t>3．络合滴定法:</w:t>
            </w:r>
            <w:r>
              <w:rPr>
                <w:rFonts w:hint="eastAsia" w:ascii="宋体" w:hAnsi="宋体"/>
                <w:sz w:val="18"/>
                <w:szCs w:val="18"/>
              </w:rPr>
              <w:t>基本概念：络合反应、络合剂、络合物、中心离子、配位体、配位数、稳定常数、条件稳定常数、累计稳定常数、酸效应系数和副反应系数；络合反应准确滴定条件；金属指示剂的作用原理、条件及常用金属指示剂；混合离子的分别滴定。EDTA与金属离子的络合反应特点。影响滴定突跃的因素及计量点时各种组分浓度计算，络合滴定的方式。</w:t>
            </w:r>
          </w:p>
          <w:p>
            <w:pPr>
              <w:rPr>
                <w:rFonts w:hint="eastAsia" w:ascii="宋体" w:hAnsi="宋体"/>
                <w:sz w:val="18"/>
                <w:szCs w:val="18"/>
              </w:rPr>
            </w:pPr>
            <w:r>
              <w:rPr>
                <w:rFonts w:hint="eastAsia" w:ascii="宋体" w:hAnsi="宋体"/>
                <w:b/>
                <w:sz w:val="18"/>
                <w:szCs w:val="18"/>
              </w:rPr>
              <w:t>4．氧化还原滴定法:</w:t>
            </w:r>
            <w:r>
              <w:rPr>
                <w:rFonts w:hint="eastAsia" w:ascii="宋体" w:hAnsi="宋体"/>
                <w:sz w:val="18"/>
                <w:szCs w:val="18"/>
              </w:rPr>
              <w:t>氧化还原反应速度及其影响因素；典型氧化还原反应滴定曲线的化学计量点和滴定突跃的电极电位计算；氧化还原滴定的指示剂的种类、作用原理及选择原则；氧化还原预处理。常用的氧化还原滴定法及计算。</w:t>
            </w:r>
          </w:p>
          <w:p>
            <w:pPr>
              <w:rPr>
                <w:rFonts w:hint="eastAsia" w:ascii="宋体" w:hAnsi="宋体"/>
                <w:sz w:val="18"/>
                <w:szCs w:val="18"/>
              </w:rPr>
            </w:pPr>
            <w:r>
              <w:rPr>
                <w:rFonts w:hint="eastAsia" w:ascii="宋体" w:hAnsi="宋体"/>
                <w:b/>
                <w:sz w:val="18"/>
                <w:szCs w:val="18"/>
              </w:rPr>
              <w:t>5．重量分析法及沉淀滴定法:</w:t>
            </w:r>
            <w:r>
              <w:rPr>
                <w:rFonts w:hint="eastAsia" w:ascii="宋体" w:hAnsi="宋体"/>
                <w:sz w:val="18"/>
                <w:szCs w:val="18"/>
              </w:rPr>
              <w:t>条件溶度积常数的意义；影响沉淀溶解度的因素；影响沉淀纯度的各种因素和提高沉淀纯度的措施；重量分析对沉淀形式和称量形式的要求；沉淀的形成过程和沉淀条件对与沉淀类型的影响。</w:t>
            </w:r>
          </w:p>
          <w:p>
            <w:pPr>
              <w:rPr>
                <w:rFonts w:hint="eastAsia" w:ascii="宋体" w:hAnsi="宋体"/>
                <w:sz w:val="18"/>
                <w:szCs w:val="18"/>
              </w:rPr>
            </w:pPr>
            <w:r>
              <w:rPr>
                <w:rFonts w:hint="eastAsia" w:ascii="宋体" w:hAnsi="宋体"/>
                <w:b/>
                <w:sz w:val="18"/>
                <w:szCs w:val="18"/>
              </w:rPr>
              <w:t>6、吸光光度法:</w:t>
            </w:r>
            <w:r>
              <w:rPr>
                <w:rFonts w:hint="eastAsia" w:ascii="宋体" w:hAnsi="宋体"/>
                <w:sz w:val="18"/>
                <w:szCs w:val="18"/>
              </w:rPr>
              <w:t>显色反应及关影响因素及光度测量误差和测量条件的选择；示差分光光度法。</w:t>
            </w:r>
          </w:p>
          <w:p>
            <w:pPr>
              <w:rPr>
                <w:rFonts w:hint="eastAsia" w:ascii="宋体" w:hAnsi="宋体"/>
                <w:sz w:val="18"/>
                <w:szCs w:val="18"/>
              </w:rPr>
            </w:pPr>
            <w:r>
              <w:rPr>
                <w:rFonts w:hint="eastAsia" w:ascii="宋体" w:hAnsi="宋体"/>
                <w:b/>
                <w:sz w:val="18"/>
                <w:szCs w:val="18"/>
              </w:rPr>
              <w:t xml:space="preserve">7、色谱分析法 </w:t>
            </w:r>
            <w:r>
              <w:rPr>
                <w:rFonts w:hint="eastAsia" w:ascii="宋体" w:hAnsi="宋体"/>
                <w:sz w:val="18"/>
                <w:szCs w:val="18"/>
              </w:rPr>
              <w:t>色谱法的基本原理及色谱图、保留值、分配系数、容量因子、塔板数（高度）、分离度的概念及有关计算公式，影响柱效的主要因素，运用色谱法进行定量、定性分析。</w:t>
            </w:r>
          </w:p>
          <w:p>
            <w:pPr>
              <w:jc w:val="left"/>
              <w:rPr>
                <w:rFonts w:hint="eastAsia" w:ascii="宋体" w:hAnsi="宋体"/>
                <w:sz w:val="18"/>
                <w:szCs w:val="18"/>
              </w:rPr>
            </w:pPr>
            <w:r>
              <w:rPr>
                <w:rFonts w:hint="eastAsia" w:ascii="宋体" w:hAnsi="宋体"/>
                <w:b/>
                <w:szCs w:val="21"/>
              </w:rPr>
              <w:t>（二）有机化学部分</w:t>
            </w:r>
          </w:p>
          <w:p>
            <w:pPr>
              <w:jc w:val="left"/>
              <w:rPr>
                <w:rFonts w:hint="eastAsia" w:ascii="宋体" w:hAnsi="宋体"/>
                <w:sz w:val="18"/>
                <w:szCs w:val="18"/>
              </w:rPr>
            </w:pPr>
            <w:r>
              <w:rPr>
                <w:rFonts w:hint="eastAsia" w:ascii="宋体" w:hAnsi="宋体"/>
                <w:sz w:val="18"/>
                <w:szCs w:val="18"/>
              </w:rPr>
              <w:t>1. 有机化学反应及其反应原理、反应条件、影响因素和应用范围；有机化合物的命名；有机化合物的结构和异构；有机化合物的物理性质和变化规律；有机物的鉴定，有机混合物的分离和分析方法；以及各种有机化合物的制备合成方法等。</w:t>
            </w:r>
          </w:p>
          <w:p>
            <w:pPr>
              <w:rPr>
                <w:rFonts w:hint="eastAsia" w:ascii="宋体" w:hAnsi="宋体"/>
                <w:sz w:val="18"/>
                <w:szCs w:val="18"/>
              </w:rPr>
            </w:pPr>
            <w:r>
              <w:rPr>
                <w:rFonts w:hint="eastAsia" w:ascii="宋体" w:hAnsi="宋体"/>
                <w:sz w:val="18"/>
                <w:szCs w:val="18"/>
              </w:rPr>
              <w:t>2. 亲电加成反应历程、烯烃的稳定性规律、碳正离子的稳定性次序及碳正离子的重排、Markovnikov规律、过氧化物效应、</w:t>
            </w:r>
            <w:r>
              <w:rPr>
                <w:rFonts w:ascii="宋体" w:hAnsi="宋体"/>
                <w:sz w:val="18"/>
                <w:szCs w:val="18"/>
              </w:rPr>
              <w:sym w:font="Symbol" w:char="F061"/>
            </w:r>
            <w:r>
              <w:rPr>
                <w:rFonts w:hint="eastAsia" w:ascii="宋体" w:hAnsi="宋体"/>
                <w:sz w:val="18"/>
                <w:szCs w:val="18"/>
              </w:rPr>
              <w:t>-氢的活泼性，以及</w:t>
            </w:r>
            <w:r>
              <w:rPr>
                <w:rFonts w:ascii="宋体" w:hAnsi="宋体"/>
                <w:sz w:val="18"/>
                <w:szCs w:val="18"/>
              </w:rPr>
              <w:sym w:font="Symbol" w:char="F070"/>
            </w:r>
            <w:r>
              <w:rPr>
                <w:rFonts w:hint="eastAsia" w:ascii="宋体" w:hAnsi="宋体"/>
                <w:sz w:val="18"/>
                <w:szCs w:val="18"/>
              </w:rPr>
              <w:t>-键的性质，诱导效应、超共轭效应等。</w:t>
            </w:r>
          </w:p>
          <w:p>
            <w:pPr>
              <w:rPr>
                <w:rFonts w:hint="eastAsia" w:ascii="宋体" w:hAnsi="宋体"/>
                <w:sz w:val="18"/>
                <w:szCs w:val="18"/>
              </w:rPr>
            </w:pPr>
            <w:r>
              <w:rPr>
                <w:rFonts w:hint="eastAsia" w:ascii="宋体" w:hAnsi="宋体"/>
                <w:sz w:val="18"/>
                <w:szCs w:val="18"/>
              </w:rPr>
              <w:t>3. 亲核取代反应（SN1、SN2）反应及其影响因素、消除反应(E1、E2反应)及其与SN1、SN2反应的竞争、消除反应的Saytzeff规则、Grignard试剂的制备及性质等。</w:t>
            </w:r>
          </w:p>
          <w:p>
            <w:pPr>
              <w:rPr>
                <w:rFonts w:hint="eastAsia" w:ascii="宋体" w:hAnsi="宋体"/>
                <w:sz w:val="18"/>
                <w:szCs w:val="18"/>
              </w:rPr>
            </w:pPr>
            <w:r>
              <w:rPr>
                <w:rFonts w:hint="eastAsia" w:ascii="宋体" w:hAnsi="宋体"/>
                <w:sz w:val="18"/>
                <w:szCs w:val="18"/>
              </w:rPr>
              <w:t>4. Grignard试剂制备醇的方法、醚制备的Williamson合成法；羰基亲核加成反应（与氰化氢加成、与亚硫酸氢鈉加成、与醇加成、与格利雅试剂、加成与氨的衍生物反应）及其规律、</w:t>
            </w:r>
            <w:r>
              <w:rPr>
                <w:rFonts w:ascii="宋体" w:hAnsi="宋体"/>
                <w:sz w:val="18"/>
                <w:szCs w:val="18"/>
              </w:rPr>
              <w:sym w:font="Symbol" w:char="F061"/>
            </w:r>
            <w:r>
              <w:rPr>
                <w:rFonts w:hint="eastAsia" w:ascii="宋体" w:hAnsi="宋体"/>
                <w:sz w:val="18"/>
                <w:szCs w:val="18"/>
              </w:rPr>
              <w:t>-氢原子活泼性及酮-烯醇互变异构，以及羟醛缩合反应、卤化反应和卤仿反应Clemmensen还原、Wolff-Kishner-黄鸣龙反应、Cannizzaro反应；季铵碱的热消除及Hofmann规律，酯化及水解、酯交换反应、Hofmann酰胺降级反应，羧酸的酸性及其影响因素、诱导效应、pKa值等；胺的碱性及其影响因素；丙二酸酯、乙酰乙酸乙酯在有机合成上的应用，重氮化反应、重氮盐的性质及其在合成上的应用。</w:t>
            </w:r>
          </w:p>
          <w:p>
            <w:pPr>
              <w:spacing w:line="360" w:lineRule="exact"/>
              <w:jc w:val="left"/>
              <w:rPr>
                <w:rFonts w:hint="eastAsia" w:ascii="宋体" w:hAnsi="宋体"/>
                <w:b/>
                <w:szCs w:val="21"/>
              </w:rPr>
            </w:pPr>
            <w:r>
              <w:rPr>
                <w:rFonts w:hint="eastAsia" w:ascii="宋体" w:hAnsi="宋体"/>
                <w:sz w:val="18"/>
                <w:szCs w:val="18"/>
              </w:rPr>
              <w:t>5. 用红外光谱、质谱、核磁共振谱分析、推导简单有机化合物的结构。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115"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top"/>
          </w:tcPr>
          <w:p>
            <w:pPr>
              <w:pStyle w:val="11"/>
              <w:spacing w:line="360" w:lineRule="exact"/>
              <w:ind w:firstLine="0" w:firstLineChars="0"/>
              <w:rPr>
                <w:rFonts w:hint="eastAsia" w:ascii="宋体" w:hAnsi="宋体"/>
                <w:b/>
                <w:bCs/>
                <w:sz w:val="24"/>
              </w:rPr>
            </w:pPr>
            <w:r>
              <w:rPr>
                <w:rFonts w:hint="eastAsia" w:ascii="宋体" w:hAnsi="宋体"/>
                <w:sz w:val="24"/>
              </w:rPr>
              <w:t>二、</w:t>
            </w:r>
            <w:r>
              <w:rPr>
                <w:rFonts w:hint="eastAsia" w:ascii="宋体" w:hAnsi="宋体"/>
                <w:b/>
                <w:bCs/>
                <w:sz w:val="24"/>
              </w:rPr>
              <w:t>考试形式与试卷结构</w:t>
            </w:r>
          </w:p>
          <w:p>
            <w:pPr>
              <w:rPr>
                <w:rFonts w:hint="eastAsia" w:ascii="宋体" w:hAnsi="宋体"/>
                <w:sz w:val="24"/>
              </w:rPr>
            </w:pP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pStyle w:val="11"/>
              <w:spacing w:line="360" w:lineRule="exact"/>
              <w:ind w:firstLine="0" w:firstLineChars="0"/>
              <w:rPr>
                <w:rFonts w:eastAsia="黑体"/>
                <w:b/>
                <w:bCs/>
                <w:szCs w:val="21"/>
              </w:rPr>
            </w:pPr>
            <w:r>
              <w:rPr>
                <w:rFonts w:hint="eastAsia"/>
                <w:b/>
                <w:szCs w:val="21"/>
              </w:rPr>
              <w:t>（一）试卷成绩及考试时间</w:t>
            </w:r>
          </w:p>
          <w:p>
            <w:pPr>
              <w:pStyle w:val="11"/>
              <w:spacing w:line="360" w:lineRule="exact"/>
              <w:ind w:firstLine="0" w:firstLineChars="0"/>
              <w:rPr>
                <w:rFonts w:ascii="新宋体" w:hAnsi="新宋体" w:eastAsia="新宋体"/>
                <w:szCs w:val="21"/>
              </w:rPr>
            </w:pPr>
            <w:r>
              <w:rPr>
                <w:rFonts w:hint="eastAsia" w:ascii="新宋体" w:hAnsi="新宋体" w:eastAsia="新宋体"/>
                <w:szCs w:val="21"/>
              </w:rPr>
              <w:t>本试卷满分为300分，考试时间为180分钟。</w:t>
            </w:r>
          </w:p>
          <w:p>
            <w:pPr>
              <w:pStyle w:val="11"/>
              <w:spacing w:line="360" w:lineRule="exact"/>
              <w:ind w:firstLine="0" w:firstLineChars="0"/>
              <w:rPr>
                <w:rFonts w:hint="eastAsia" w:ascii="新宋体" w:hAnsi="新宋体" w:eastAsia="新宋体"/>
                <w:b/>
                <w:szCs w:val="21"/>
              </w:rPr>
            </w:pPr>
            <w:r>
              <w:rPr>
                <w:rFonts w:hint="eastAsia" w:ascii="新宋体" w:hAnsi="新宋体" w:eastAsia="新宋体"/>
                <w:b/>
                <w:szCs w:val="21"/>
              </w:rPr>
              <w:t>（二）答题方式</w:t>
            </w:r>
          </w:p>
          <w:p>
            <w:pPr>
              <w:pStyle w:val="11"/>
              <w:spacing w:line="360" w:lineRule="exact"/>
              <w:ind w:firstLine="0" w:firstLineChars="0"/>
              <w:rPr>
                <w:rFonts w:hint="eastAsia" w:ascii="新宋体" w:hAnsi="新宋体" w:eastAsia="新宋体"/>
                <w:szCs w:val="21"/>
              </w:rPr>
            </w:pPr>
            <w:r>
              <w:rPr>
                <w:rFonts w:hint="eastAsia" w:ascii="新宋体" w:hAnsi="新宋体" w:eastAsia="新宋体"/>
                <w:szCs w:val="21"/>
              </w:rPr>
              <w:t>答题方式为闭卷、笔试。</w:t>
            </w:r>
          </w:p>
          <w:p>
            <w:pPr>
              <w:pStyle w:val="11"/>
              <w:spacing w:line="360" w:lineRule="exact"/>
              <w:ind w:firstLine="0" w:firstLineChars="0"/>
              <w:rPr>
                <w:rFonts w:hint="eastAsia" w:ascii="新宋体" w:hAnsi="新宋体" w:eastAsia="新宋体"/>
                <w:b/>
                <w:szCs w:val="21"/>
              </w:rPr>
            </w:pPr>
            <w:r>
              <w:rPr>
                <w:rFonts w:hint="eastAsia" w:ascii="新宋体" w:hAnsi="新宋体" w:eastAsia="新宋体"/>
                <w:b/>
                <w:szCs w:val="21"/>
              </w:rPr>
              <w:t>（三）试卷内容结构</w:t>
            </w:r>
          </w:p>
          <w:p>
            <w:pPr>
              <w:pStyle w:val="11"/>
              <w:spacing w:line="360" w:lineRule="exact"/>
              <w:ind w:firstLine="0" w:firstLineChars="0"/>
              <w:rPr>
                <w:rFonts w:hint="eastAsia" w:ascii="新宋体" w:hAnsi="新宋体" w:eastAsia="新宋体"/>
                <w:szCs w:val="21"/>
              </w:rPr>
            </w:pPr>
            <w:r>
              <w:rPr>
                <w:rFonts w:hint="eastAsia" w:ascii="新宋体" w:hAnsi="新宋体" w:eastAsia="新宋体"/>
                <w:szCs w:val="21"/>
              </w:rPr>
              <w:t>有机化学：约150分</w:t>
            </w:r>
          </w:p>
          <w:p>
            <w:pPr>
              <w:pStyle w:val="11"/>
              <w:spacing w:line="360" w:lineRule="exact"/>
              <w:ind w:firstLine="0" w:firstLineChars="0"/>
              <w:rPr>
                <w:rFonts w:hint="eastAsia" w:ascii="新宋体" w:hAnsi="新宋体" w:eastAsia="新宋体"/>
                <w:szCs w:val="21"/>
              </w:rPr>
            </w:pPr>
            <w:r>
              <w:rPr>
                <w:rFonts w:hint="eastAsia" w:ascii="新宋体" w:hAnsi="新宋体" w:eastAsia="新宋体"/>
                <w:szCs w:val="21"/>
              </w:rPr>
              <w:t>分析化学：约150分</w:t>
            </w:r>
          </w:p>
          <w:p>
            <w:pPr>
              <w:pStyle w:val="11"/>
              <w:spacing w:line="360" w:lineRule="exact"/>
              <w:ind w:firstLine="0" w:firstLineChars="0"/>
              <w:rPr>
                <w:rFonts w:hint="eastAsia" w:ascii="新宋体" w:hAnsi="新宋体" w:eastAsia="新宋体"/>
                <w:b/>
                <w:szCs w:val="21"/>
              </w:rPr>
            </w:pPr>
            <w:r>
              <w:rPr>
                <w:rFonts w:hint="eastAsia" w:ascii="新宋体" w:hAnsi="新宋体" w:eastAsia="新宋体"/>
                <w:b/>
                <w:szCs w:val="21"/>
              </w:rPr>
              <w:t>（四）试卷题型结构</w:t>
            </w:r>
          </w:p>
          <w:p>
            <w:pPr>
              <w:spacing w:line="360" w:lineRule="exact"/>
              <w:rPr>
                <w:rFonts w:ascii="宋体" w:hAnsi="宋体"/>
                <w:szCs w:val="21"/>
              </w:rPr>
            </w:pPr>
            <w:r>
              <w:rPr>
                <w:rFonts w:hint="eastAsia" w:ascii="新宋体" w:hAnsi="新宋体" w:eastAsia="新宋体"/>
                <w:szCs w:val="21"/>
              </w:rPr>
              <w:t>选择题（约60分）；填空题（约60分）；简答题（约80分）；计算题（约40分）；分析论述题（约60分）。</w:t>
            </w:r>
          </w:p>
        </w:tc>
      </w:tr>
    </w:tbl>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学位点意见：                           招生单位意见：</w:t>
      </w:r>
    </w:p>
    <w:p>
      <w:pPr>
        <w:spacing w:line="360" w:lineRule="exact"/>
        <w:rPr>
          <w:rFonts w:hint="eastAsia" w:ascii="宋体" w:hAnsi="宋体"/>
          <w:sz w:val="24"/>
        </w:rPr>
      </w:pPr>
    </w:p>
    <w:p>
      <w:pPr>
        <w:spacing w:line="360" w:lineRule="exact"/>
        <w:rPr>
          <w:rFonts w:ascii="宋体" w:hAnsi="宋体"/>
          <w:sz w:val="24"/>
        </w:rPr>
      </w:pPr>
      <w:r>
        <w:rPr>
          <w:rFonts w:hint="eastAsia" w:ascii="宋体" w:hAnsi="宋体"/>
          <w:sz w:val="24"/>
        </w:rPr>
        <w:t>学位点负责人签字：                     招生单位负责人签字（盖章）：</w:t>
      </w:r>
      <w:r>
        <w:rPr>
          <w:rFonts w:ascii="宋体" w:hAnsi="宋体"/>
          <w:sz w:val="24"/>
        </w:rPr>
        <w:br w:type="textWrapping"/>
      </w:r>
    </w:p>
    <w:p>
      <w:pPr>
        <w:spacing w:line="360" w:lineRule="exact"/>
        <w:rPr>
          <w:rFonts w:hint="eastAsia" w:ascii="宋体" w:hAnsi="宋体"/>
          <w:sz w:val="24"/>
        </w:rPr>
      </w:pPr>
    </w:p>
    <w:sectPr>
      <w:headerReference r:id="rId3" w:type="default"/>
      <w:pgSz w:w="11906" w:h="16838"/>
      <w:pgMar w:top="680" w:right="1588" w:bottom="73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2Y2ZjZTMxOWY0NzUzOWJlMDlkNTUyMzkxZmM0ZWEifQ=="/>
  </w:docVars>
  <w:rsids>
    <w:rsidRoot w:val="0023680F"/>
    <w:rsid w:val="00002A89"/>
    <w:rsid w:val="000138E8"/>
    <w:rsid w:val="00033428"/>
    <w:rsid w:val="00052B80"/>
    <w:rsid w:val="0005747E"/>
    <w:rsid w:val="000915A8"/>
    <w:rsid w:val="00097DAC"/>
    <w:rsid w:val="000C5038"/>
    <w:rsid w:val="0011467E"/>
    <w:rsid w:val="00115C2B"/>
    <w:rsid w:val="00120528"/>
    <w:rsid w:val="00163E51"/>
    <w:rsid w:val="00165301"/>
    <w:rsid w:val="00165F4A"/>
    <w:rsid w:val="00177E4E"/>
    <w:rsid w:val="001B14B7"/>
    <w:rsid w:val="0021130A"/>
    <w:rsid w:val="002247B4"/>
    <w:rsid w:val="0023680F"/>
    <w:rsid w:val="00250B8F"/>
    <w:rsid w:val="002C487E"/>
    <w:rsid w:val="002E2E09"/>
    <w:rsid w:val="002E3288"/>
    <w:rsid w:val="00311A9A"/>
    <w:rsid w:val="00364CB0"/>
    <w:rsid w:val="00366899"/>
    <w:rsid w:val="003769AD"/>
    <w:rsid w:val="003858D6"/>
    <w:rsid w:val="00387E49"/>
    <w:rsid w:val="003A3A2F"/>
    <w:rsid w:val="003A66CB"/>
    <w:rsid w:val="003C23C1"/>
    <w:rsid w:val="003F3EDA"/>
    <w:rsid w:val="00423564"/>
    <w:rsid w:val="00437704"/>
    <w:rsid w:val="00440EB2"/>
    <w:rsid w:val="00453E7D"/>
    <w:rsid w:val="004604F0"/>
    <w:rsid w:val="0048668C"/>
    <w:rsid w:val="00487490"/>
    <w:rsid w:val="004951A4"/>
    <w:rsid w:val="004963EE"/>
    <w:rsid w:val="004B3F58"/>
    <w:rsid w:val="004B5343"/>
    <w:rsid w:val="004D3FAC"/>
    <w:rsid w:val="004F6DC5"/>
    <w:rsid w:val="00532C62"/>
    <w:rsid w:val="00534194"/>
    <w:rsid w:val="00560B36"/>
    <w:rsid w:val="00587659"/>
    <w:rsid w:val="005918CE"/>
    <w:rsid w:val="00592A65"/>
    <w:rsid w:val="005C568C"/>
    <w:rsid w:val="0061158E"/>
    <w:rsid w:val="006214B1"/>
    <w:rsid w:val="006325C5"/>
    <w:rsid w:val="0064047C"/>
    <w:rsid w:val="0067757F"/>
    <w:rsid w:val="00680027"/>
    <w:rsid w:val="00682552"/>
    <w:rsid w:val="0068569E"/>
    <w:rsid w:val="006903E1"/>
    <w:rsid w:val="006B12EE"/>
    <w:rsid w:val="006C0842"/>
    <w:rsid w:val="006D17E3"/>
    <w:rsid w:val="006D7D50"/>
    <w:rsid w:val="006E491C"/>
    <w:rsid w:val="0071024D"/>
    <w:rsid w:val="00732D3D"/>
    <w:rsid w:val="00732FA1"/>
    <w:rsid w:val="00732FAE"/>
    <w:rsid w:val="00777D4C"/>
    <w:rsid w:val="00780EB3"/>
    <w:rsid w:val="00797C66"/>
    <w:rsid w:val="007A6C37"/>
    <w:rsid w:val="007C6D21"/>
    <w:rsid w:val="007D2320"/>
    <w:rsid w:val="007D4B94"/>
    <w:rsid w:val="007F4D3A"/>
    <w:rsid w:val="008242C8"/>
    <w:rsid w:val="00881A50"/>
    <w:rsid w:val="00890D06"/>
    <w:rsid w:val="008A31D4"/>
    <w:rsid w:val="008E07E0"/>
    <w:rsid w:val="008F2152"/>
    <w:rsid w:val="00917AB6"/>
    <w:rsid w:val="009247AE"/>
    <w:rsid w:val="009339B8"/>
    <w:rsid w:val="009360BE"/>
    <w:rsid w:val="00950817"/>
    <w:rsid w:val="0095268D"/>
    <w:rsid w:val="00956D28"/>
    <w:rsid w:val="00972271"/>
    <w:rsid w:val="009A3E77"/>
    <w:rsid w:val="009E6AE5"/>
    <w:rsid w:val="009F5B65"/>
    <w:rsid w:val="00A15039"/>
    <w:rsid w:val="00A423B3"/>
    <w:rsid w:val="00A5151E"/>
    <w:rsid w:val="00AD67F2"/>
    <w:rsid w:val="00AD697D"/>
    <w:rsid w:val="00AF5B86"/>
    <w:rsid w:val="00AF6754"/>
    <w:rsid w:val="00B331DC"/>
    <w:rsid w:val="00B4453E"/>
    <w:rsid w:val="00B54474"/>
    <w:rsid w:val="00B75B83"/>
    <w:rsid w:val="00B96E6A"/>
    <w:rsid w:val="00BA1A52"/>
    <w:rsid w:val="00BB0288"/>
    <w:rsid w:val="00BD691E"/>
    <w:rsid w:val="00BF5C9D"/>
    <w:rsid w:val="00C04003"/>
    <w:rsid w:val="00C3285D"/>
    <w:rsid w:val="00C33E43"/>
    <w:rsid w:val="00C57EC2"/>
    <w:rsid w:val="00C7758D"/>
    <w:rsid w:val="00CA4A6B"/>
    <w:rsid w:val="00CA7549"/>
    <w:rsid w:val="00CB7BA6"/>
    <w:rsid w:val="00CC16C8"/>
    <w:rsid w:val="00CE02BD"/>
    <w:rsid w:val="00CE6518"/>
    <w:rsid w:val="00D0135F"/>
    <w:rsid w:val="00D25F52"/>
    <w:rsid w:val="00D472EE"/>
    <w:rsid w:val="00D67BFB"/>
    <w:rsid w:val="00DE3C2D"/>
    <w:rsid w:val="00DF39E3"/>
    <w:rsid w:val="00E071B2"/>
    <w:rsid w:val="00E20F81"/>
    <w:rsid w:val="00E231F3"/>
    <w:rsid w:val="00E64C95"/>
    <w:rsid w:val="00E73F83"/>
    <w:rsid w:val="00E83D68"/>
    <w:rsid w:val="00E90327"/>
    <w:rsid w:val="00EA60DD"/>
    <w:rsid w:val="00EC2BEE"/>
    <w:rsid w:val="00ED5321"/>
    <w:rsid w:val="00F02F36"/>
    <w:rsid w:val="00F16471"/>
    <w:rsid w:val="00F553F1"/>
    <w:rsid w:val="00F66280"/>
    <w:rsid w:val="00F77F9B"/>
    <w:rsid w:val="00F95C49"/>
    <w:rsid w:val="00FE4B73"/>
    <w:rsid w:val="00FE5CF6"/>
    <w:rsid w:val="0CF108AD"/>
    <w:rsid w:val="3B486AEF"/>
    <w:rsid w:val="59EA45AF"/>
    <w:rsid w:val="698C3EBC"/>
    <w:rsid w:val="6FB60349"/>
    <w:rsid w:val="714A4D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ind w:firstLine="420" w:firstLineChars="200"/>
    </w:pPr>
    <w:rPr>
      <w:szCs w:val="28"/>
    </w:r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w:basedOn w:val="1"/>
    <w:uiPriority w:val="0"/>
    <w:pPr>
      <w:tabs>
        <w:tab w:val="left" w:pos="4665"/>
        <w:tab w:val="left" w:pos="8970"/>
      </w:tabs>
      <w:ind w:firstLine="400"/>
    </w:pPr>
    <w:rPr>
      <w:rFonts w:ascii="Tahoma" w:hAnsi="Tahoma"/>
      <w:sz w:val="24"/>
      <w:szCs w:val="20"/>
    </w:rPr>
  </w:style>
  <w:style w:type="paragraph"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1741</Words>
  <Characters>1872</Characters>
  <Lines>74</Lines>
  <Paragraphs>21</Paragraphs>
  <TotalTime>0</TotalTime>
  <ScaleCrop>false</ScaleCrop>
  <LinksUpToDate>false</LinksUpToDate>
  <CharactersWithSpaces>1926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2011-06-08T09:26:00Z</dcterms:created>
  <dc:creator>User</dc:creator>
  <cp:lastModifiedBy>vertesyuan</cp:lastModifiedBy>
  <cp:lastPrinted>2019-08-25T03:27:00Z</cp:lastPrinted>
  <dcterms:modified xsi:type="dcterms:W3CDTF">2022-10-09T12:30:42Z</dcterms:modified>
  <dc:title>2008年硕士研究生招生考试科目信息登记表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C77F58D661874F1AB5BDB5549546D906</vt:lpwstr>
  </property>
</Properties>
</file>