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《普通物理I 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/>
                <w:bCs/>
                <w:szCs w:val="21"/>
              </w:rPr>
              <w:t>物理学</w:t>
            </w:r>
            <w:r>
              <w:rPr>
                <w:rFonts w:hint="eastAsia" w:ascii="??" w:hAnsi="??" w:cs="宋体"/>
                <w:bCs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70</w:t>
            </w: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普通物理I</w:t>
            </w:r>
          </w:p>
          <w:p>
            <w:pPr>
              <w:ind w:firstLine="181" w:firstLineChars="100"/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电磁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学）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8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8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测试考生对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电磁学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基本理论、基础知识的掌握程度以及应用基本理论分析问题的能力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。要求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考生要系统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的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掌握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电磁学的基本概念、基本原理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和基本物理规律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；</w:t>
            </w:r>
            <w:r>
              <w:rPr>
                <w:rFonts w:hint="eastAsia"/>
                <w:b/>
                <w:sz w:val="18"/>
                <w:szCs w:val="18"/>
              </w:rPr>
              <w:t xml:space="preserve"> 并</w:t>
            </w:r>
            <w:r>
              <w:rPr>
                <w:rFonts w:hint="eastAsia"/>
                <w:bCs/>
                <w:sz w:val="18"/>
                <w:szCs w:val="18"/>
              </w:rPr>
              <w:t>能灵活运用数学微积分知识，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分析</w:t>
            </w:r>
            <w:r>
              <w:rPr>
                <w:rFonts w:hint="eastAsia"/>
                <w:bCs/>
                <w:sz w:val="18"/>
                <w:szCs w:val="18"/>
              </w:rPr>
              <w:t>解决电磁学课程的综合性问题，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具有一定的公式推导能力，</w:t>
            </w:r>
            <w:r>
              <w:rPr>
                <w:rFonts w:hint="eastAsia"/>
                <w:bCs/>
                <w:sz w:val="18"/>
                <w:szCs w:val="18"/>
              </w:rPr>
              <w:t>为进一步学习研究物理知识打好基础。</w:t>
            </w:r>
          </w:p>
          <w:p>
            <w:pPr>
              <w:pStyle w:val="18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（满分75分）</w:t>
            </w:r>
          </w:p>
          <w:p>
            <w:pPr>
              <w:pStyle w:val="18"/>
              <w:ind w:left="420" w:firstLine="0" w:firstLineChars="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（一）内容比例： </w:t>
            </w:r>
          </w:p>
          <w:p>
            <w:pPr>
              <w:pStyle w:val="18"/>
              <w:numPr>
                <w:ilvl w:val="0"/>
                <w:numId w:val="2"/>
              </w:numPr>
              <w:ind w:firstLine="465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静电场</w:t>
            </w:r>
            <w:r>
              <w:rPr>
                <w:bCs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bCs/>
                <w:sz w:val="18"/>
                <w:szCs w:val="18"/>
              </w:rPr>
              <w:t xml:space="preserve">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约30分</w:t>
            </w:r>
          </w:p>
          <w:p>
            <w:pPr>
              <w:pStyle w:val="18"/>
              <w:numPr>
                <w:ilvl w:val="0"/>
                <w:numId w:val="2"/>
              </w:numPr>
              <w:ind w:firstLine="465" w:firstLineChars="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稳恒磁场</w:t>
            </w:r>
            <w:r>
              <w:rPr>
                <w:bCs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bCs/>
                <w:sz w:val="18"/>
                <w:szCs w:val="18"/>
              </w:rPr>
              <w:t xml:space="preserve">                       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约30分</w:t>
            </w:r>
          </w:p>
          <w:p>
            <w:pPr>
              <w:pStyle w:val="18"/>
              <w:numPr>
                <w:ilvl w:val="0"/>
                <w:numId w:val="2"/>
              </w:numPr>
              <w:ind w:firstLine="465" w:firstLineChars="0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涡旋电场、位移电流、电磁场和电磁波</w:t>
            </w:r>
            <w:r>
              <w:rPr>
                <w:bCs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bCs/>
                <w:sz w:val="18"/>
                <w:szCs w:val="18"/>
              </w:rPr>
              <w:t>约15分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（二）题型比例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：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</w:t>
            </w:r>
          </w:p>
          <w:p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ind w:hanging="79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概念题           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约10分</w:t>
            </w:r>
          </w:p>
          <w:p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ind w:hanging="79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约15分</w:t>
            </w:r>
          </w:p>
          <w:p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ind w:hanging="79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综合题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约50分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3"/>
              <w:spacing w:line="480" w:lineRule="auto"/>
              <w:ind w:firstLine="361"/>
              <w:rPr>
                <w:rFonts w:hint="eastAsia" w:hAnsi="宋体"/>
                <w:bCs/>
                <w:sz w:val="18"/>
                <w:szCs w:val="18"/>
              </w:rPr>
            </w:pPr>
            <w:r>
              <w:rPr>
                <w:rFonts w:hint="eastAsia" w:hAnsi="宋体"/>
                <w:bCs/>
                <w:sz w:val="18"/>
                <w:szCs w:val="18"/>
              </w:rPr>
              <w:t>（一）静电场</w:t>
            </w:r>
          </w:p>
          <w:p>
            <w:pPr>
              <w:ind w:left="420" w:leftChars="200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宋体" w:hAnsi="宋体"/>
                <w:sz w:val="18"/>
                <w:szCs w:val="18"/>
              </w:rPr>
              <w:t>静电的基本现象和基本定律；静电场中的导体，电容和电容器；电势、电场的能量；电介质的极化；电流的恒定条件和导电规律，欧姆定律的积分及微分形。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widowControl/>
              <w:spacing w:line="276" w:lineRule="auto"/>
              <w:ind w:firstLine="360" w:firstLineChars="200"/>
              <w:jc w:val="left"/>
              <w:textAlignment w:val="center"/>
              <w:rPr>
                <w:rFonts w:hint="eastAsia"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．了解</w:t>
            </w:r>
            <w:r>
              <w:rPr>
                <w:rFonts w:hint="eastAsia" w:ascii="宋体" w:hAnsi="宋体"/>
                <w:sz w:val="18"/>
                <w:szCs w:val="18"/>
              </w:rPr>
              <w:t>静电场的基本现象和基本定律，掌握静电场电场强度</w: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object>
                <v:shape id="_x0000_i1025" o:spt="75" type="#_x0000_t75" style="height:15pt;width:1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、电势</w:t>
            </w:r>
            <w:r>
              <w:rPr>
                <w:rFonts w:hint="eastAsia" w:ascii="宋体" w:hAnsi="宋体"/>
                <w:position w:val="-6"/>
                <w:sz w:val="18"/>
                <w:szCs w:val="18"/>
              </w:rPr>
              <w:object>
                <v:shape id="_x0000_i1026" o:spt="75" type="#_x0000_t75" style="height:13.95pt;width:13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的计算；掌握高斯定理及其应用，电势及其梯度。</w:t>
            </w:r>
          </w:p>
          <w:p>
            <w:pPr>
              <w:pStyle w:val="3"/>
              <w:spacing w:line="276" w:lineRule="auto"/>
              <w:ind w:firstLine="361"/>
              <w:textAlignment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．理解</w:t>
            </w:r>
            <w:r>
              <w:rPr>
                <w:rFonts w:hint="eastAsia" w:hAnsi="宋体"/>
                <w:sz w:val="18"/>
                <w:szCs w:val="18"/>
              </w:rPr>
              <w:t>静电场中的导体，电容和电容器。电势能，电场的能量</w:t>
            </w: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t>掌握电容和电容器等的计算。</w:t>
            </w:r>
          </w:p>
          <w:p>
            <w:pPr>
              <w:pStyle w:val="3"/>
              <w:spacing w:line="276" w:lineRule="auto"/>
              <w:ind w:firstLine="361"/>
              <w:textAlignment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D0D0D"/>
                <w:sz w:val="18"/>
                <w:szCs w:val="18"/>
              </w:rPr>
              <w:t>3．理解</w:t>
            </w:r>
            <w:r>
              <w:rPr>
                <w:rFonts w:hint="eastAsia" w:hAnsi="宋体"/>
                <w:sz w:val="18"/>
                <w:szCs w:val="18"/>
              </w:rPr>
              <w:t>电介质的极化，极化强度</w:t>
            </w:r>
            <w:r>
              <w:rPr>
                <w:rFonts w:hint="eastAsia" w:hAnsi="宋体"/>
                <w:sz w:val="18"/>
                <w:szCs w:val="18"/>
              </w:rPr>
              <w:object>
                <v:shape id="_x0000_i1027" o:spt="75" type="#_x0000_t75" style="height:16pt;width:12pt;" o:ole="t" fillcolor="#ACA899" filled="f" o:preferrelative="t" stroked="f" coordsize="21600,21600">
                  <v:path/>
                  <v:fill on="f" alignshape="1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hint="eastAsia" w:hAnsi="宋体"/>
                <w:sz w:val="18"/>
                <w:szCs w:val="18"/>
              </w:rPr>
              <w:t>，电位移</w:t>
            </w:r>
            <w:r>
              <w:rPr>
                <w:rFonts w:hint="eastAsia" w:hAnsi="宋体"/>
                <w:sz w:val="18"/>
                <w:szCs w:val="18"/>
              </w:rPr>
              <w:object>
                <v:shape id="_x0000_i1028" o:spt="75" type="#_x0000_t75" style="height:16pt;width:13pt;" o:ole="t" fillcolor="#ACA899" filled="f" o:preferrelative="t" stroked="f" coordsize="21600,21600">
                  <v:path/>
                  <v:fill on="f" alignshape="1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hint="eastAsia" w:hAnsi="宋体"/>
                <w:sz w:val="18"/>
                <w:szCs w:val="18"/>
              </w:rPr>
              <w:t>，</w:t>
            </w:r>
            <w:r>
              <w:rPr>
                <w:rFonts w:hint="eastAsia" w:hAnsi="宋体"/>
                <w:sz w:val="18"/>
                <w:szCs w:val="18"/>
              </w:rPr>
              <w:object>
                <v:shape id="_x0000_i1029" o:spt="75" type="#_x0000_t75" style="height:16pt;width:13pt;" o:ole="t" fillcolor="#ACA899" filled="f" o:preferrelative="t" stroked="f" coordsize="21600,21600">
                  <v:path/>
                  <v:fill on="f" alignshape="1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int="eastAsia" w:hAnsi="宋体"/>
                <w:sz w:val="18"/>
                <w:szCs w:val="18"/>
              </w:rPr>
              <w:object>
                <v:shape id="_x0000_i1030" o:spt="75" type="#_x0000_t75" style="height:16pt;width:12pt;" o:ole="t" fillcolor="#ACA899" filled="f" o:preferrelative="t" stroked="f" coordsize="21600,21600">
                  <v:path/>
                  <v:fill on="f" alignshape="1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4">
                  <o:LockedField>false</o:LockedField>
                </o:OLEObject>
              </w:object>
            </w:r>
            <w:r>
              <w:rPr>
                <w:rFonts w:hint="eastAsia" w:hAnsi="宋体"/>
                <w:sz w:val="18"/>
                <w:szCs w:val="18"/>
              </w:rPr>
              <w:t>和</w:t>
            </w:r>
            <w:r>
              <w:rPr>
                <w:rFonts w:hint="eastAsia" w:hAnsi="宋体"/>
                <w:sz w:val="18"/>
                <w:szCs w:val="18"/>
              </w:rPr>
              <w:object>
                <v:shape id="_x0000_i1031" o:spt="75" type="#_x0000_t75" style="height:16pt;width:12pt;" o:ole="t" fillcolor="#ACA899" filled="f" o:preferrelative="t" stroked="f" coordsize="21600,21600">
                  <v:path/>
                  <v:fill on="f" alignshape="1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6">
                  <o:LockedField>false</o:LockedField>
                </o:OLEObject>
              </w:object>
            </w:r>
            <w:r>
              <w:rPr>
                <w:rFonts w:hint="eastAsia" w:hAnsi="宋体"/>
                <w:sz w:val="18"/>
                <w:szCs w:val="18"/>
              </w:rPr>
              <w:t>的关系；掌握介质中的高斯定理及其应用。</w:t>
            </w:r>
          </w:p>
          <w:p>
            <w:pPr>
              <w:pStyle w:val="3"/>
              <w:spacing w:line="276" w:lineRule="auto"/>
              <w:ind w:firstLine="361"/>
              <w:textAlignment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4. 理解电流的恒定条件和导电规律，欧姆定律的积分及微分形式，电源及其电动势。</w:t>
            </w:r>
          </w:p>
          <w:p>
            <w:pPr>
              <w:pStyle w:val="3"/>
              <w:ind w:firstLine="361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（二）稳恒磁场</w:t>
            </w:r>
          </w:p>
          <w:p>
            <w:p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考试内容：毕奥-萨伐尔定律；载流回路的磁场；安培定律；带电粒子在磁场中的运动；载流导体受力（安培力）、磁力矩；磁介质中的安培环路定律及其应用。</w:t>
            </w:r>
          </w:p>
          <w:p>
            <w:pPr>
              <w:ind w:left="420" w:left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理解基本磁现象，磁感应强度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2" o:spt="75" type="#_x0000_t75" style="height:16pt;width:12pt;" o:ole="t" fillcolor="#ACA899" filled="f" o:preferrelative="t" stroked="f" coordsize="21600,21600">
                  <v:path/>
                  <v:fill on="f" alignshape="1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8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；低速运动带电粒子的磁场；稳恒磁场的高斯定理。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掌握毕奥-萨伐尔定律；载流回路的磁场；安培环路定律。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掌握洛仑兹力，带电粒子在磁场中的运动，安培定律，载流导体受力（安培力），磁力矩。</w:t>
            </w:r>
          </w:p>
          <w:p>
            <w:pPr>
              <w:numPr>
                <w:ilvl w:val="0"/>
                <w:numId w:val="4"/>
              </w:numPr>
              <w:spacing w:line="276" w:lineRule="auto"/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理解磁介质的磁化机制，磁化强度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3" o:spt="75" type="#_x0000_t75" style="height:16pt;width:16pt;" o:ole="t" fillcolor="#ACA899" filled="f" o:preferrelative="t" stroked="f" coordsize="21600,21600">
                  <v:path/>
                  <v:fill on="f" alignshape="1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3" ShapeID="_x0000_i1033" DrawAspect="Content" ObjectID="_1468075733" r:id="rId20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，磁场强度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4" o:spt="75" type="#_x0000_t75" style="height:16pt;width:13.95pt;" o:ole="t" fillcolor="#ACA899" filled="f" o:preferrelative="t" stroked="f" coordsize="21600,21600">
                  <v:path/>
                  <v:fill on="f" alignshape="1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3" ShapeID="_x0000_i1034" DrawAspect="Content" ObjectID="_1468075734" r:id="rId22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5" o:spt="75" type="#_x0000_t75" style="height:16pt;width:12pt;" o:ole="t" fillcolor="#ACA899" filled="f" o:preferrelative="t" stroked="f" coordsize="21600,21600">
                  <v:path/>
                  <v:fill on="f" alignshape="1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3" ShapeID="_x0000_i1035" DrawAspect="Content" ObjectID="_1468075735" r:id="rId24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6" o:spt="75" type="#_x0000_t75" style="height:16pt;width:13.95pt;" o:ole="t" fillcolor="#ACA899" filled="f" o:preferrelative="t" stroked="f" coordsize="21600,21600">
                  <v:path/>
                  <v:fill on="f" alignshape="1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3" ShapeID="_x0000_i1036" DrawAspect="Content" ObjectID="_1468075736" r:id="rId26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hint="eastAsia" w:ascii="宋体" w:hAnsi="宋体"/>
                <w:sz w:val="18"/>
                <w:szCs w:val="18"/>
              </w:rPr>
              <w:object>
                <v:shape id="_x0000_i1037" o:spt="75" type="#_x0000_t75" style="height:16pt;width:16pt;" o:ole="t" fillcolor="#ACA899" filled="f" o:preferrelative="t" stroked="f" coordsize="21600,21600">
                  <v:path/>
                  <v:fill on="f" alignshape="1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3" ShapeID="_x0000_i1037" DrawAspect="Content" ObjectID="_1468075737" r:id="rId28">
                  <o:LockedField>false</o:LockedField>
                </o:OLEObject>
              </w:object>
            </w:r>
            <w:r>
              <w:rPr>
                <w:rFonts w:hint="eastAsia" w:ascii="宋体" w:hAnsi="宋体"/>
                <w:sz w:val="18"/>
                <w:szCs w:val="18"/>
              </w:rPr>
              <w:t>的关系。</w:t>
            </w:r>
          </w:p>
          <w:p>
            <w:pPr>
              <w:spacing w:line="276" w:lineRule="auto"/>
              <w:ind w:firstLine="360" w:firstLineChars="200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 掌握磁介质中的安培环路定律及其应用。</w:t>
            </w:r>
          </w:p>
          <w:p>
            <w:pPr>
              <w:numPr>
                <w:ilvl w:val="0"/>
                <w:numId w:val="5"/>
              </w:numPr>
              <w:ind w:firstLine="42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电磁感应</w:t>
            </w:r>
          </w:p>
          <w:p>
            <w:p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考试内容：</w:t>
            </w:r>
            <w:r>
              <w:rPr>
                <w:rFonts w:hint="eastAsia" w:ascii="宋体" w:hAnsi="宋体"/>
                <w:sz w:val="18"/>
                <w:szCs w:val="18"/>
              </w:rPr>
              <w:t>电磁感应定律；动生电动势与感生电动势；互感，自感，串联两线圈的等效自感；自感磁能与互感磁能，磁场的能量和磁能密度。</w:t>
            </w:r>
          </w:p>
          <w:p>
            <w:pPr>
              <w:ind w:firstLine="360" w:firstLine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6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掌握电磁感应定律。动生电动势与感生电动势。</w:t>
            </w:r>
          </w:p>
          <w:p>
            <w:pPr>
              <w:numPr>
                <w:ilvl w:val="0"/>
                <w:numId w:val="6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掌握互感，自感，串联两线圈的等效自感。</w:t>
            </w:r>
          </w:p>
          <w:p>
            <w:pPr>
              <w:numPr>
                <w:ilvl w:val="0"/>
                <w:numId w:val="6"/>
              </w:numPr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掌握自感磁能与互感磁能，磁场的能量和磁能密度。</w:t>
            </w:r>
          </w:p>
          <w:p>
            <w:pPr>
              <w:pStyle w:val="3"/>
              <w:ind w:firstLine="443" w:firstLineChars="245"/>
              <w:rPr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（四）电磁场与电磁波</w:t>
            </w:r>
            <w:r>
              <w:rPr>
                <w:rFonts w:hAnsi="宋体"/>
                <w:b/>
                <w:sz w:val="18"/>
                <w:szCs w:val="18"/>
              </w:rPr>
              <w:t xml:space="preserve"> </w:t>
            </w:r>
          </w:p>
          <w:p>
            <w:pPr>
              <w:ind w:left="42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考试内容：电磁场的基本规律；涡旋电场及其环流；位移电流。Maxwell方程组；电磁波的产生与传播；坡印廷矢量，电磁波的物质性，电磁波谱。  </w:t>
            </w:r>
          </w:p>
          <w:p>
            <w:pPr>
              <w:ind w:firstLine="360" w:firstLineChars="20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考试要求：</w:t>
            </w:r>
          </w:p>
          <w:p>
            <w:pPr>
              <w:numPr>
                <w:ilvl w:val="0"/>
                <w:numId w:val="7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了解电磁场的基本规律，掌握涡旋电场及其环流。</w:t>
            </w:r>
          </w:p>
          <w:p>
            <w:pPr>
              <w:numPr>
                <w:ilvl w:val="0"/>
                <w:numId w:val="7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掌握位移电流，Maxwell方程组，电磁波的产生与传播。</w:t>
            </w:r>
          </w:p>
          <w:p>
            <w:pPr>
              <w:numPr>
                <w:ilvl w:val="0"/>
                <w:numId w:val="7"/>
              </w:numPr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了解坡印廷矢量的意义，掌握其计算；了解电磁波的物质性，电磁波谱。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</w:t>
            </w:r>
          </w:p>
          <w:p>
            <w:pPr>
              <w:numPr>
                <w:ilvl w:val="0"/>
                <w:numId w:val="8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电磁</w:t>
            </w:r>
            <w:r>
              <w:rPr>
                <w:sz w:val="18"/>
                <w:szCs w:val="18"/>
              </w:rPr>
              <w:t>学》</w:t>
            </w:r>
            <w:r>
              <w:rPr>
                <w:rFonts w:hint="eastAsia"/>
                <w:sz w:val="18"/>
                <w:szCs w:val="18"/>
              </w:rPr>
              <w:t>第四版，</w:t>
            </w:r>
            <w:r>
              <w:rPr>
                <w:sz w:val="18"/>
                <w:szCs w:val="18"/>
              </w:rPr>
              <w:t>赵凯华，陈熙谋.主编，</w:t>
            </w:r>
            <w:r>
              <w:rPr>
                <w:rFonts w:hint="eastAsia"/>
                <w:sz w:val="18"/>
                <w:szCs w:val="18"/>
              </w:rPr>
              <w:t>高等教育</w:t>
            </w:r>
            <w:r>
              <w:rPr>
                <w:sz w:val="18"/>
                <w:szCs w:val="18"/>
              </w:rPr>
              <w:t>出版社，20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>
            <w:pPr>
              <w:numPr>
                <w:ilvl w:val="0"/>
                <w:numId w:val="8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电磁</w:t>
            </w:r>
            <w:r>
              <w:rPr>
                <w:sz w:val="18"/>
                <w:szCs w:val="18"/>
              </w:rPr>
              <w:t>学》</w:t>
            </w:r>
            <w:r>
              <w:rPr>
                <w:rFonts w:hint="eastAsia"/>
                <w:sz w:val="18"/>
                <w:szCs w:val="18"/>
              </w:rPr>
              <w:t>第三版，</w:t>
            </w:r>
            <w:r>
              <w:rPr>
                <w:sz w:val="18"/>
                <w:szCs w:val="18"/>
              </w:rPr>
              <w:t>梁灿斌主编，</w:t>
            </w:r>
            <w:r>
              <w:rPr>
                <w:rFonts w:hint="eastAsia"/>
                <w:sz w:val="18"/>
                <w:szCs w:val="18"/>
              </w:rPr>
              <w:t>高等教育</w:t>
            </w:r>
            <w:r>
              <w:rPr>
                <w:sz w:val="18"/>
                <w:szCs w:val="18"/>
              </w:rPr>
              <w:t>出版社，20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CA70C"/>
    <w:multiLevelType w:val="singleLevel"/>
    <w:tmpl w:val="EB0CA7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1ED57C5"/>
    <w:multiLevelType w:val="singleLevel"/>
    <w:tmpl w:val="F1ED57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7"/>
    <w:multiLevelType w:val="multilevel"/>
    <w:tmpl w:val="0000000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6A516A6"/>
    <w:multiLevelType w:val="singleLevel"/>
    <w:tmpl w:val="06A516A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1AC8303E"/>
    <w:multiLevelType w:val="multilevel"/>
    <w:tmpl w:val="1AC8303E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(%4)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B9559F"/>
    <w:multiLevelType w:val="multilevel"/>
    <w:tmpl w:val="38B9559F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A2D43C"/>
    <w:multiLevelType w:val="singleLevel"/>
    <w:tmpl w:val="3EA2D43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5FF79BBC"/>
    <w:multiLevelType w:val="singleLevel"/>
    <w:tmpl w:val="5FF79BBC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C5DCE"/>
    <w:rsid w:val="003D58FB"/>
    <w:rsid w:val="004E4797"/>
    <w:rsid w:val="007526C3"/>
    <w:rsid w:val="00753867"/>
    <w:rsid w:val="00A57681"/>
    <w:rsid w:val="00B05BA4"/>
    <w:rsid w:val="00B704AC"/>
    <w:rsid w:val="00B917AE"/>
    <w:rsid w:val="00C80C9B"/>
    <w:rsid w:val="00D17E59"/>
    <w:rsid w:val="00D25C86"/>
    <w:rsid w:val="00DB7C60"/>
    <w:rsid w:val="00F0346D"/>
    <w:rsid w:val="024E38BD"/>
    <w:rsid w:val="03B0036C"/>
    <w:rsid w:val="05F34A85"/>
    <w:rsid w:val="0617311A"/>
    <w:rsid w:val="0833515A"/>
    <w:rsid w:val="0E7F3A89"/>
    <w:rsid w:val="142B7D7B"/>
    <w:rsid w:val="1A5F0567"/>
    <w:rsid w:val="1DC74847"/>
    <w:rsid w:val="245F5EC0"/>
    <w:rsid w:val="24D550FC"/>
    <w:rsid w:val="29C10C6B"/>
    <w:rsid w:val="31CB2AA4"/>
    <w:rsid w:val="322F1A22"/>
    <w:rsid w:val="339907B7"/>
    <w:rsid w:val="364C47E4"/>
    <w:rsid w:val="36F9426F"/>
    <w:rsid w:val="39430D07"/>
    <w:rsid w:val="4AE726AC"/>
    <w:rsid w:val="4C353A42"/>
    <w:rsid w:val="4C531763"/>
    <w:rsid w:val="50744C2D"/>
    <w:rsid w:val="51974A76"/>
    <w:rsid w:val="53253E16"/>
    <w:rsid w:val="551A13FC"/>
    <w:rsid w:val="55327CC8"/>
    <w:rsid w:val="60840932"/>
    <w:rsid w:val="611F1443"/>
    <w:rsid w:val="616E6F35"/>
    <w:rsid w:val="618C0D80"/>
    <w:rsid w:val="62BD7336"/>
    <w:rsid w:val="640E14A0"/>
    <w:rsid w:val="680C35D7"/>
    <w:rsid w:val="69322713"/>
    <w:rsid w:val="69751073"/>
    <w:rsid w:val="6C372358"/>
    <w:rsid w:val="6E0C7A68"/>
    <w:rsid w:val="701B08DE"/>
    <w:rsid w:val="7AC51A06"/>
    <w:rsid w:val="7AD25F59"/>
    <w:rsid w:val="7C203BE9"/>
    <w:rsid w:val="7C562A75"/>
    <w:rsid w:val="7E23175B"/>
    <w:rsid w:val="7F362E8B"/>
    <w:rsid w:val="7F656924"/>
    <w:rsid w:val="7FC1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Plain Text"/>
    <w:basedOn w:val="1"/>
    <w:link w:val="16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2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主题 Char"/>
    <w:link w:val="8"/>
    <w:uiPriority w:val="0"/>
    <w:rPr>
      <w:b/>
      <w:bCs/>
      <w:kern w:val="2"/>
      <w:sz w:val="21"/>
      <w:szCs w:val="22"/>
    </w:rPr>
  </w:style>
  <w:style w:type="character" w:customStyle="1" w:styleId="13">
    <w:name w:val="页脚 Char"/>
    <w:link w:val="5"/>
    <w:uiPriority w:val="0"/>
    <w:rPr>
      <w:rFonts w:cs="Times New Roman"/>
      <w:sz w:val="18"/>
      <w:szCs w:val="18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6"/>
    <w:uiPriority w:val="0"/>
    <w:rPr>
      <w:rFonts w:cs="Times New Roman"/>
      <w:sz w:val="18"/>
      <w:szCs w:val="18"/>
    </w:rPr>
  </w:style>
  <w:style w:type="character" w:customStyle="1" w:styleId="16">
    <w:name w:val="纯文本 Char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7">
    <w:name w:val="批注文字 Char"/>
    <w:link w:val="2"/>
    <w:uiPriority w:val="0"/>
    <w:rPr>
      <w:kern w:val="2"/>
      <w:sz w:val="21"/>
      <w:szCs w:val="22"/>
    </w:rPr>
  </w:style>
  <w:style w:type="paragraph" w:styleId="1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273</Words>
  <Characters>1562</Characters>
  <Lines>13</Lines>
  <Paragraphs>3</Paragraphs>
  <TotalTime>0</TotalTime>
  <ScaleCrop>false</ScaleCrop>
  <LinksUpToDate>false</LinksUpToDate>
  <CharactersWithSpaces>1832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2015-09-22T01:50:00Z</dcterms:created>
  <dc:creator>柳放</dc:creator>
  <cp:lastModifiedBy>vertesyuan</cp:lastModifiedBy>
  <cp:lastPrinted>2015-09-22T01:33:00Z</cp:lastPrinted>
  <dcterms:modified xsi:type="dcterms:W3CDTF">2022-10-10T03:25:02Z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F34DC6989F4943B5BDB9B10348CAE794</vt:lpwstr>
  </property>
</Properties>
</file>