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color w:val="000000"/>
          <w:sz w:val="36"/>
          <w:szCs w:val="36"/>
        </w:rPr>
      </w:pPr>
      <w:bookmarkStart w:id="0" w:name="_GoBack"/>
      <w:bookmarkEnd w:id="0"/>
      <w:r>
        <w:rPr>
          <w:rFonts w:hint="eastAsia" w:ascii="黑体" w:hAnsi="黑体" w:eastAsia="黑体" w:cs="黑体"/>
          <w:b w:val="0"/>
          <w:bCs/>
          <w:color w:val="000000"/>
          <w:sz w:val="36"/>
          <w:szCs w:val="36"/>
          <w:lang w:val="en-US" w:eastAsia="zh-CN"/>
        </w:rPr>
        <w:t>湖南农业大学</w:t>
      </w:r>
      <w:r>
        <w:rPr>
          <w:rFonts w:hint="eastAsia" w:ascii="黑体" w:hAnsi="黑体" w:eastAsia="黑体" w:cs="黑体"/>
          <w:b w:val="0"/>
          <w:bCs/>
          <w:color w:val="000000"/>
          <w:sz w:val="36"/>
          <w:szCs w:val="36"/>
        </w:rPr>
        <w:t>202</w:t>
      </w:r>
      <w:r>
        <w:rPr>
          <w:rFonts w:hint="eastAsia" w:ascii="黑体" w:hAnsi="黑体" w:eastAsia="黑体" w:cs="黑体"/>
          <w:b w:val="0"/>
          <w:bCs/>
          <w:color w:val="000000"/>
          <w:sz w:val="36"/>
          <w:szCs w:val="36"/>
          <w:lang w:val="en-US" w:eastAsia="zh-CN"/>
        </w:rPr>
        <w:t>3</w:t>
      </w:r>
      <w:r>
        <w:rPr>
          <w:rFonts w:hint="eastAsia" w:ascii="黑体" w:hAnsi="黑体" w:eastAsia="黑体" w:cs="黑体"/>
          <w:b w:val="0"/>
          <w:bCs/>
          <w:color w:val="000000"/>
          <w:sz w:val="36"/>
          <w:szCs w:val="36"/>
        </w:rPr>
        <w:t>年硕士研究生招生考试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color w:val="000000"/>
          <w:sz w:val="36"/>
          <w:szCs w:val="36"/>
        </w:rPr>
      </w:pPr>
      <w:r>
        <w:rPr>
          <w:rFonts w:hint="eastAsia" w:ascii="黑体" w:hAnsi="黑体" w:eastAsia="黑体" w:cs="黑体"/>
          <w:b w:val="0"/>
          <w:bCs/>
          <w:color w:val="000000"/>
          <w:sz w:val="36"/>
          <w:szCs w:val="36"/>
          <w:lang w:eastAsia="zh-CN"/>
        </w:rPr>
        <w:t>《</w:t>
      </w:r>
      <w:r>
        <w:rPr>
          <w:rFonts w:hint="eastAsia" w:ascii="黑体" w:hAnsi="黑体" w:eastAsia="黑体" w:cs="黑体"/>
          <w:b w:val="0"/>
          <w:bCs/>
          <w:color w:val="000000"/>
          <w:sz w:val="36"/>
          <w:szCs w:val="36"/>
        </w:rPr>
        <w:t>公共管理学</w:t>
      </w:r>
      <w:r>
        <w:rPr>
          <w:rFonts w:hint="eastAsia" w:ascii="黑体" w:hAnsi="黑体" w:eastAsia="黑体" w:cs="黑体"/>
          <w:b w:val="0"/>
          <w:bCs/>
          <w:color w:val="000000"/>
          <w:sz w:val="36"/>
          <w:szCs w:val="36"/>
          <w:lang w:eastAsia="zh-CN"/>
        </w:rPr>
        <w:t>》</w:t>
      </w:r>
      <w:r>
        <w:rPr>
          <w:rFonts w:hint="eastAsia" w:ascii="黑体" w:hAnsi="黑体" w:eastAsia="黑体" w:cs="黑体"/>
          <w:b w:val="0"/>
          <w:bCs/>
          <w:color w:val="000000"/>
          <w:sz w:val="36"/>
          <w:szCs w:val="36"/>
        </w:rPr>
        <w:t>考试大纲</w:t>
      </w:r>
    </w:p>
    <w:p>
      <w:pPr>
        <w:keepNext w:val="0"/>
        <w:keepLines w:val="0"/>
        <w:pageBreakBefore w:val="0"/>
        <w:widowControl w:val="0"/>
        <w:kinsoku/>
        <w:wordWrap/>
        <w:overflowPunct/>
        <w:topLinePunct w:val="0"/>
        <w:autoSpaceDE/>
        <w:autoSpaceDN/>
        <w:bidi w:val="0"/>
        <w:adjustRightInd/>
        <w:snapToGrid/>
        <w:spacing w:line="324" w:lineRule="auto"/>
        <w:ind w:firstLine="482" w:firstLineChars="200"/>
        <w:textAlignment w:val="auto"/>
        <w:rPr>
          <w:rFonts w:hint="eastAsia" w:ascii="仿宋_GB2312" w:hAnsi="宋体" w:eastAsia="仿宋_GB2312"/>
          <w:b/>
          <w:color w:val="000000"/>
          <w:sz w:val="24"/>
          <w:szCs w:val="24"/>
        </w:rPr>
      </w:pPr>
      <w:r>
        <w:rPr>
          <w:rFonts w:hint="eastAsia" w:ascii="仿宋_GB2312" w:hAnsi="宋体" w:eastAsia="仿宋_GB2312"/>
          <w:b/>
          <w:color w:val="000000"/>
          <w:sz w:val="24"/>
          <w:szCs w:val="24"/>
        </w:rPr>
        <w:t>Ⅰ．考试性质</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sz w:val="24"/>
          <w:szCs w:val="24"/>
        </w:rPr>
      </w:pPr>
      <w:r>
        <w:rPr>
          <w:rFonts w:hint="eastAsia" w:ascii="仿宋" w:hAnsi="仿宋" w:eastAsia="仿宋" w:cs="仿宋"/>
          <w:sz w:val="24"/>
          <w:szCs w:val="24"/>
        </w:rPr>
        <w:t>　　本课程是为湖南农业大学招收公共管理学术型硕士研究生而设置的公共管理知识水平测试课程，其目的在于有效地测试考生掌握大学本科阶段公共行政学的基本知识、基本理论和基本方法以及运用公共行政学的基本理论知识和方法分析和解决相关问题的能力，评价的标准是高等学校本科毕业生能达到的及格或及格以上水平，有利于招生学院在专业上择优选拔。</w:t>
      </w:r>
    </w:p>
    <w:p>
      <w:pPr>
        <w:keepNext w:val="0"/>
        <w:keepLines w:val="0"/>
        <w:pageBreakBefore w:val="0"/>
        <w:widowControl w:val="0"/>
        <w:kinsoku/>
        <w:wordWrap/>
        <w:overflowPunct/>
        <w:topLinePunct w:val="0"/>
        <w:autoSpaceDE/>
        <w:autoSpaceDN/>
        <w:bidi w:val="0"/>
        <w:adjustRightInd/>
        <w:snapToGrid/>
        <w:spacing w:line="324" w:lineRule="auto"/>
        <w:ind w:firstLine="482" w:firstLineChars="200"/>
        <w:textAlignment w:val="auto"/>
        <w:rPr>
          <w:rFonts w:hint="eastAsia" w:ascii="仿宋_GB2312" w:hAnsi="宋体" w:eastAsia="仿宋_GB2312"/>
          <w:b/>
          <w:color w:val="000000"/>
          <w:sz w:val="24"/>
          <w:szCs w:val="24"/>
        </w:rPr>
      </w:pPr>
      <w:r>
        <w:rPr>
          <w:rFonts w:hint="eastAsia" w:ascii="仿宋_GB2312" w:hAnsi="宋体" w:eastAsia="仿宋_GB2312"/>
          <w:b/>
          <w:color w:val="000000"/>
          <w:sz w:val="24"/>
          <w:szCs w:val="24"/>
        </w:rPr>
        <w:t>Ⅱ．考查目标</w:t>
      </w:r>
    </w:p>
    <w:p>
      <w:pPr>
        <w:keepNext w:val="0"/>
        <w:keepLines w:val="0"/>
        <w:pageBreakBefore w:val="0"/>
        <w:widowControl w:val="0"/>
        <w:kinsoku/>
        <w:wordWrap/>
        <w:overflowPunct/>
        <w:topLinePunct w:val="0"/>
        <w:autoSpaceDE/>
        <w:autoSpaceDN/>
        <w:bidi w:val="0"/>
        <w:adjustRightInd/>
        <w:snapToGrid/>
        <w:spacing w:line="324" w:lineRule="auto"/>
        <w:ind w:firstLine="420"/>
        <w:textAlignment w:val="auto"/>
        <w:rPr>
          <w:rFonts w:hint="eastAsia" w:ascii="仿宋" w:hAnsi="仿宋" w:eastAsia="仿宋" w:cs="仿宋"/>
          <w:sz w:val="24"/>
          <w:szCs w:val="24"/>
        </w:rPr>
      </w:pPr>
      <w:r>
        <w:rPr>
          <w:rFonts w:hint="eastAsia" w:ascii="仿宋" w:hAnsi="仿宋" w:eastAsia="仿宋" w:cs="仿宋"/>
          <w:sz w:val="24"/>
          <w:szCs w:val="24"/>
        </w:rPr>
        <w:t>本课程考试主要包括行政原理与行政体制、行政程式与行政技术、行政行为与法制行政等内容。要求考生：</w:t>
      </w:r>
    </w:p>
    <w:p>
      <w:pPr>
        <w:keepNext w:val="0"/>
        <w:keepLines w:val="0"/>
        <w:pageBreakBefore w:val="0"/>
        <w:widowControl w:val="0"/>
        <w:kinsoku/>
        <w:wordWrap/>
        <w:overflowPunct/>
        <w:topLinePunct w:val="0"/>
        <w:autoSpaceDE/>
        <w:autoSpaceDN/>
        <w:bidi w:val="0"/>
        <w:adjustRightInd/>
        <w:snapToGrid/>
        <w:spacing w:line="324" w:lineRule="auto"/>
        <w:ind w:firstLine="420"/>
        <w:textAlignment w:val="auto"/>
        <w:rPr>
          <w:rFonts w:hint="eastAsia" w:ascii="仿宋" w:hAnsi="仿宋" w:eastAsia="仿宋" w:cs="仿宋"/>
          <w:sz w:val="24"/>
          <w:szCs w:val="24"/>
        </w:rPr>
      </w:pPr>
      <w:r>
        <w:rPr>
          <w:rFonts w:hint="eastAsia" w:ascii="仿宋" w:hAnsi="仿宋" w:eastAsia="仿宋" w:cs="仿宋"/>
          <w:sz w:val="24"/>
          <w:szCs w:val="24"/>
        </w:rPr>
        <w:t>1．较准确掌握公共行政学的基本概念。</w:t>
      </w:r>
    </w:p>
    <w:p>
      <w:pPr>
        <w:keepNext w:val="0"/>
        <w:keepLines w:val="0"/>
        <w:pageBreakBefore w:val="0"/>
        <w:widowControl w:val="0"/>
        <w:kinsoku/>
        <w:wordWrap/>
        <w:overflowPunct/>
        <w:topLinePunct w:val="0"/>
        <w:autoSpaceDE/>
        <w:autoSpaceDN/>
        <w:bidi w:val="0"/>
        <w:adjustRightInd/>
        <w:snapToGrid/>
        <w:spacing w:line="324" w:lineRule="auto"/>
        <w:ind w:firstLine="420"/>
        <w:textAlignment w:val="auto"/>
        <w:rPr>
          <w:rFonts w:hint="eastAsia" w:ascii="仿宋" w:hAnsi="仿宋" w:eastAsia="仿宋" w:cs="仿宋"/>
          <w:sz w:val="24"/>
          <w:szCs w:val="24"/>
        </w:rPr>
      </w:pPr>
      <w:r>
        <w:rPr>
          <w:rFonts w:hint="eastAsia" w:ascii="仿宋" w:hAnsi="仿宋" w:eastAsia="仿宋" w:cs="仿宋"/>
          <w:sz w:val="24"/>
          <w:szCs w:val="24"/>
        </w:rPr>
        <w:t>2．系统地了解公共行政学的基本知识、基本理论和基本方法。</w:t>
      </w:r>
    </w:p>
    <w:p>
      <w:pPr>
        <w:keepNext w:val="0"/>
        <w:keepLines w:val="0"/>
        <w:pageBreakBefore w:val="0"/>
        <w:widowControl w:val="0"/>
        <w:kinsoku/>
        <w:wordWrap/>
        <w:overflowPunct/>
        <w:topLinePunct w:val="0"/>
        <w:autoSpaceDE/>
        <w:autoSpaceDN/>
        <w:bidi w:val="0"/>
        <w:adjustRightInd/>
        <w:snapToGrid/>
        <w:spacing w:line="324" w:lineRule="auto"/>
        <w:ind w:firstLine="420"/>
        <w:textAlignment w:val="auto"/>
        <w:rPr>
          <w:rFonts w:hint="eastAsia" w:ascii="仿宋" w:hAnsi="仿宋" w:eastAsia="仿宋" w:cs="仿宋"/>
          <w:sz w:val="24"/>
          <w:szCs w:val="24"/>
        </w:rPr>
      </w:pPr>
      <w:r>
        <w:rPr>
          <w:rFonts w:hint="eastAsia" w:ascii="仿宋" w:hAnsi="仿宋" w:eastAsia="仿宋" w:cs="仿宋"/>
          <w:sz w:val="24"/>
          <w:szCs w:val="24"/>
        </w:rPr>
        <w:t>3．能够运用公共行政学的基本理论知识和方法分析</w:t>
      </w:r>
      <w:r>
        <w:rPr>
          <w:rFonts w:hint="eastAsia" w:ascii="仿宋" w:hAnsi="仿宋" w:eastAsia="仿宋" w:cs="仿宋"/>
          <w:sz w:val="24"/>
          <w:szCs w:val="24"/>
          <w:lang w:eastAsia="zh-CN"/>
        </w:rPr>
        <w:t>、</w:t>
      </w:r>
      <w:r>
        <w:rPr>
          <w:rFonts w:hint="eastAsia" w:ascii="仿宋" w:hAnsi="仿宋" w:eastAsia="仿宋" w:cs="仿宋"/>
          <w:sz w:val="24"/>
          <w:szCs w:val="24"/>
        </w:rPr>
        <w:t>解决相关的理论问题和实际问题。</w:t>
      </w:r>
    </w:p>
    <w:p>
      <w:pPr>
        <w:keepNext w:val="0"/>
        <w:keepLines w:val="0"/>
        <w:pageBreakBefore w:val="0"/>
        <w:widowControl w:val="0"/>
        <w:kinsoku/>
        <w:wordWrap/>
        <w:overflowPunct/>
        <w:topLinePunct w:val="0"/>
        <w:autoSpaceDE/>
        <w:autoSpaceDN/>
        <w:bidi w:val="0"/>
        <w:adjustRightInd/>
        <w:snapToGrid/>
        <w:spacing w:line="324" w:lineRule="auto"/>
        <w:ind w:firstLine="482" w:firstLineChars="200"/>
        <w:textAlignment w:val="auto"/>
        <w:rPr>
          <w:rFonts w:hint="eastAsia" w:ascii="仿宋_GB2312" w:hAnsi="宋体" w:eastAsia="仿宋_GB2312"/>
          <w:b/>
          <w:color w:val="000000"/>
          <w:sz w:val="24"/>
          <w:szCs w:val="24"/>
        </w:rPr>
      </w:pPr>
      <w:r>
        <w:rPr>
          <w:rFonts w:hint="eastAsia" w:ascii="仿宋_GB2312" w:hAnsi="宋体" w:eastAsia="仿宋_GB2312"/>
          <w:b/>
          <w:color w:val="000000"/>
          <w:sz w:val="24"/>
          <w:szCs w:val="24"/>
        </w:rPr>
        <w:t>Ⅲ．考试形式和试卷结构</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b/>
          <w:sz w:val="24"/>
          <w:szCs w:val="24"/>
        </w:rPr>
      </w:pPr>
      <w:r>
        <w:rPr>
          <w:rFonts w:hint="eastAsia" w:ascii="仿宋" w:hAnsi="仿宋" w:eastAsia="仿宋" w:cs="仿宋"/>
          <w:sz w:val="24"/>
          <w:szCs w:val="24"/>
        </w:rPr>
        <w:t>　　</w:t>
      </w:r>
      <w:r>
        <w:rPr>
          <w:rFonts w:hint="eastAsia" w:ascii="仿宋" w:hAnsi="仿宋" w:eastAsia="仿宋" w:cs="仿宋"/>
          <w:b/>
          <w:sz w:val="24"/>
          <w:szCs w:val="24"/>
        </w:rPr>
        <w:t>一、试卷满分及考试时间</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sz w:val="24"/>
          <w:szCs w:val="24"/>
        </w:rPr>
      </w:pPr>
      <w:r>
        <w:rPr>
          <w:rFonts w:hint="eastAsia" w:ascii="仿宋" w:hAnsi="仿宋" w:eastAsia="仿宋" w:cs="仿宋"/>
          <w:sz w:val="24"/>
          <w:szCs w:val="24"/>
        </w:rPr>
        <w:t>　　本试卷满分为150分，考试时间为180分钟。</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b/>
          <w:sz w:val="24"/>
          <w:szCs w:val="24"/>
        </w:rPr>
      </w:pPr>
      <w:r>
        <w:rPr>
          <w:rFonts w:hint="eastAsia" w:ascii="仿宋" w:hAnsi="仿宋" w:eastAsia="仿宋" w:cs="仿宋"/>
          <w:sz w:val="24"/>
          <w:szCs w:val="24"/>
        </w:rPr>
        <w:t>　　</w:t>
      </w:r>
      <w:r>
        <w:rPr>
          <w:rFonts w:hint="eastAsia" w:ascii="仿宋" w:hAnsi="仿宋" w:eastAsia="仿宋" w:cs="仿宋"/>
          <w:b/>
          <w:sz w:val="24"/>
          <w:szCs w:val="24"/>
        </w:rPr>
        <w:t>二、答题方式</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sz w:val="24"/>
          <w:szCs w:val="24"/>
        </w:rPr>
      </w:pPr>
      <w:r>
        <w:rPr>
          <w:rFonts w:hint="eastAsia" w:ascii="仿宋" w:hAnsi="仿宋" w:eastAsia="仿宋" w:cs="仿宋"/>
          <w:sz w:val="24"/>
          <w:szCs w:val="24"/>
        </w:rPr>
        <w:t>　　答题方式为闭卷、笔试。</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b/>
          <w:sz w:val="24"/>
          <w:szCs w:val="24"/>
        </w:rPr>
      </w:pPr>
      <w:r>
        <w:rPr>
          <w:rFonts w:hint="eastAsia" w:ascii="仿宋" w:hAnsi="仿宋" w:eastAsia="仿宋" w:cs="仿宋"/>
          <w:sz w:val="24"/>
          <w:szCs w:val="24"/>
        </w:rPr>
        <w:t>　　</w:t>
      </w:r>
      <w:r>
        <w:rPr>
          <w:rFonts w:hint="eastAsia" w:ascii="仿宋" w:hAnsi="仿宋" w:eastAsia="仿宋" w:cs="仿宋"/>
          <w:b/>
          <w:sz w:val="24"/>
          <w:szCs w:val="24"/>
        </w:rPr>
        <w:t>三、试卷内容结构</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sz w:val="24"/>
          <w:szCs w:val="24"/>
        </w:rPr>
      </w:pPr>
      <w:r>
        <w:rPr>
          <w:rFonts w:hint="eastAsia" w:ascii="仿宋" w:hAnsi="仿宋" w:eastAsia="仿宋" w:cs="仿宋"/>
          <w:sz w:val="24"/>
          <w:szCs w:val="24"/>
        </w:rPr>
        <w:t>　　公共行政的基本概念</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sz w:val="24"/>
          <w:szCs w:val="24"/>
        </w:rPr>
      </w:pPr>
      <w:r>
        <w:rPr>
          <w:rFonts w:hint="eastAsia" w:ascii="仿宋" w:hAnsi="仿宋" w:eastAsia="仿宋" w:cs="仿宋"/>
          <w:sz w:val="24"/>
          <w:szCs w:val="24"/>
        </w:rPr>
        <w:t>　　公共行政学基本知识和基本理论</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sz w:val="24"/>
          <w:szCs w:val="24"/>
        </w:rPr>
      </w:pPr>
      <w:r>
        <w:rPr>
          <w:rFonts w:hint="eastAsia" w:ascii="仿宋" w:hAnsi="仿宋" w:eastAsia="仿宋" w:cs="仿宋"/>
          <w:sz w:val="24"/>
          <w:szCs w:val="24"/>
        </w:rPr>
        <w:t>　　公共行政理论分析与运用</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b/>
          <w:sz w:val="24"/>
          <w:szCs w:val="24"/>
        </w:rPr>
      </w:pPr>
      <w:r>
        <w:rPr>
          <w:rFonts w:hint="eastAsia" w:ascii="仿宋" w:hAnsi="仿宋" w:eastAsia="仿宋" w:cs="仿宋"/>
          <w:sz w:val="24"/>
          <w:szCs w:val="24"/>
        </w:rPr>
        <w:t>　　</w:t>
      </w:r>
      <w:r>
        <w:rPr>
          <w:rFonts w:hint="eastAsia" w:ascii="仿宋" w:hAnsi="仿宋" w:eastAsia="仿宋" w:cs="仿宋"/>
          <w:b/>
          <w:sz w:val="24"/>
          <w:szCs w:val="24"/>
        </w:rPr>
        <w:t>四、试卷题型结构</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sz w:val="24"/>
          <w:szCs w:val="24"/>
        </w:rPr>
      </w:pPr>
      <w:r>
        <w:rPr>
          <w:rFonts w:hint="eastAsia" w:ascii="仿宋" w:hAnsi="仿宋" w:eastAsia="仿宋" w:cs="仿宋"/>
          <w:sz w:val="24"/>
          <w:szCs w:val="24"/>
        </w:rPr>
        <w:t>　　名词解释题30分</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sz w:val="24"/>
          <w:szCs w:val="24"/>
        </w:rPr>
      </w:pPr>
      <w:r>
        <w:rPr>
          <w:rFonts w:hint="eastAsia" w:ascii="仿宋" w:hAnsi="仿宋" w:eastAsia="仿宋" w:cs="仿宋"/>
          <w:sz w:val="24"/>
          <w:szCs w:val="24"/>
        </w:rPr>
        <w:t>　　简答题60分</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sz w:val="24"/>
          <w:szCs w:val="24"/>
        </w:rPr>
      </w:pPr>
      <w:r>
        <w:rPr>
          <w:rFonts w:hint="eastAsia" w:ascii="仿宋" w:hAnsi="仿宋" w:eastAsia="仿宋" w:cs="仿宋"/>
          <w:sz w:val="24"/>
          <w:szCs w:val="24"/>
        </w:rPr>
        <w:t>　　论述题60分</w:t>
      </w:r>
    </w:p>
    <w:p>
      <w:pPr>
        <w:keepNext w:val="0"/>
        <w:keepLines w:val="0"/>
        <w:pageBreakBefore w:val="0"/>
        <w:widowControl w:val="0"/>
        <w:kinsoku/>
        <w:wordWrap/>
        <w:overflowPunct/>
        <w:topLinePunct w:val="0"/>
        <w:autoSpaceDE/>
        <w:autoSpaceDN/>
        <w:bidi w:val="0"/>
        <w:adjustRightInd/>
        <w:snapToGrid/>
        <w:spacing w:line="324" w:lineRule="auto"/>
        <w:ind w:firstLine="482" w:firstLineChars="200"/>
        <w:textAlignment w:val="auto"/>
        <w:rPr>
          <w:rFonts w:hint="eastAsia" w:ascii="仿宋_GB2312" w:hAnsi="宋体" w:eastAsia="仿宋_GB2312"/>
          <w:b/>
          <w:color w:val="000000"/>
          <w:sz w:val="24"/>
          <w:szCs w:val="24"/>
        </w:rPr>
      </w:pPr>
      <w:r>
        <w:rPr>
          <w:rFonts w:hint="eastAsia" w:ascii="仿宋_GB2312" w:hAnsi="宋体" w:eastAsia="仿宋_GB2312"/>
          <w:b/>
          <w:color w:val="000000"/>
          <w:sz w:val="24"/>
          <w:szCs w:val="24"/>
        </w:rPr>
        <w:t>Ⅳ．考查内容</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（一）公共行政学的学科内涵</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公共行政相关核心概念界定；公共行政学发展简史及不同阶段的主要代表人物与思想；国家公共行政管理体制</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（二）行政职能</w:t>
      </w:r>
    </w:p>
    <w:p>
      <w:pPr>
        <w:keepNext w:val="0"/>
        <w:keepLines w:val="0"/>
        <w:pageBreakBefore w:val="0"/>
        <w:widowControl w:val="0"/>
        <w:kinsoku/>
        <w:wordWrap/>
        <w:overflowPunct/>
        <w:topLinePunct w:val="0"/>
        <w:autoSpaceDE/>
        <w:autoSpaceDN/>
        <w:bidi w:val="0"/>
        <w:adjustRightInd/>
        <w:snapToGrid/>
        <w:spacing w:line="324" w:lineRule="auto"/>
        <w:ind w:firstLine="420"/>
        <w:textAlignment w:val="auto"/>
        <w:rPr>
          <w:rFonts w:hint="eastAsia" w:ascii="仿宋" w:hAnsi="仿宋" w:eastAsia="仿宋" w:cs="仿宋"/>
          <w:sz w:val="24"/>
          <w:szCs w:val="24"/>
        </w:rPr>
      </w:pPr>
      <w:r>
        <w:rPr>
          <w:rFonts w:hint="eastAsia" w:ascii="仿宋" w:hAnsi="仿宋" w:eastAsia="仿宋" w:cs="仿宋"/>
          <w:sz w:val="24"/>
          <w:szCs w:val="24"/>
        </w:rPr>
        <w:t>现代政府行政职能问题的由来与发展；行政职能的涵义与构成、关于政府职能的争论</w:t>
      </w:r>
    </w:p>
    <w:p>
      <w:pPr>
        <w:keepNext w:val="0"/>
        <w:keepLines w:val="0"/>
        <w:pageBreakBefore w:val="0"/>
        <w:widowControl w:val="0"/>
        <w:kinsoku/>
        <w:wordWrap/>
        <w:overflowPunct/>
        <w:topLinePunct w:val="0"/>
        <w:autoSpaceDE/>
        <w:autoSpaceDN/>
        <w:bidi w:val="0"/>
        <w:adjustRightInd/>
        <w:snapToGrid/>
        <w:spacing w:line="324" w:lineRule="auto"/>
        <w:ind w:firstLine="420"/>
        <w:textAlignment w:val="auto"/>
        <w:rPr>
          <w:rFonts w:hint="eastAsia" w:ascii="仿宋" w:hAnsi="仿宋" w:eastAsia="仿宋" w:cs="仿宋"/>
          <w:sz w:val="24"/>
          <w:szCs w:val="24"/>
        </w:rPr>
      </w:pPr>
      <w:r>
        <w:rPr>
          <w:rFonts w:hint="eastAsia" w:ascii="仿宋" w:hAnsi="仿宋" w:eastAsia="仿宋" w:cs="仿宋"/>
          <w:sz w:val="24"/>
          <w:szCs w:val="24"/>
        </w:rPr>
        <w:t>（三）行政权力</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行政权力的内涵；行政权力分配；行政授权、行政权力行使</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（四）行政领导</w:t>
      </w:r>
    </w:p>
    <w:p>
      <w:pPr>
        <w:keepNext w:val="0"/>
        <w:keepLines w:val="0"/>
        <w:pageBreakBefore w:val="0"/>
        <w:widowControl w:val="0"/>
        <w:kinsoku/>
        <w:wordWrap/>
        <w:overflowPunct/>
        <w:topLinePunct w:val="0"/>
        <w:autoSpaceDE/>
        <w:autoSpaceDN/>
        <w:bidi w:val="0"/>
        <w:adjustRightInd/>
        <w:snapToGrid/>
        <w:spacing w:line="324" w:lineRule="auto"/>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行政领导概念及内涵；领导者的人生价值观；优秀领导者的品格与基本素质、领导力及其提升</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（五）行政组织</w:t>
      </w:r>
    </w:p>
    <w:p>
      <w:pPr>
        <w:keepNext w:val="0"/>
        <w:keepLines w:val="0"/>
        <w:pageBreakBefore w:val="0"/>
        <w:widowControl w:val="0"/>
        <w:kinsoku/>
        <w:wordWrap/>
        <w:overflowPunct/>
        <w:topLinePunct w:val="0"/>
        <w:autoSpaceDE/>
        <w:autoSpaceDN/>
        <w:bidi w:val="0"/>
        <w:adjustRightInd/>
        <w:snapToGrid/>
        <w:spacing w:line="324" w:lineRule="auto"/>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行政组织相关概念内涵；组织目标、结构、原则及环境；组织变革</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（六）人事行政</w:t>
      </w:r>
    </w:p>
    <w:p>
      <w:pPr>
        <w:keepNext w:val="0"/>
        <w:keepLines w:val="0"/>
        <w:pageBreakBefore w:val="0"/>
        <w:widowControl w:val="0"/>
        <w:kinsoku/>
        <w:wordWrap/>
        <w:overflowPunct/>
        <w:topLinePunct w:val="0"/>
        <w:autoSpaceDE/>
        <w:autoSpaceDN/>
        <w:bidi w:val="0"/>
        <w:adjustRightInd/>
        <w:snapToGrid/>
        <w:spacing w:line="324" w:lineRule="auto"/>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人事行政相关概念及内涵；职位分类与品位分类；现代人事行政的更新机制、激励机制、行为调控机制；当代西方人事行政的发展；国家公务员制度</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（七）行政决策</w:t>
      </w:r>
    </w:p>
    <w:p>
      <w:pPr>
        <w:keepNext w:val="0"/>
        <w:keepLines w:val="0"/>
        <w:pageBreakBefore w:val="0"/>
        <w:widowControl w:val="0"/>
        <w:kinsoku/>
        <w:wordWrap/>
        <w:overflowPunct/>
        <w:topLinePunct w:val="0"/>
        <w:autoSpaceDE/>
        <w:autoSpaceDN/>
        <w:bidi w:val="0"/>
        <w:adjustRightInd/>
        <w:snapToGrid/>
        <w:spacing w:line="324" w:lineRule="auto"/>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行政决策相关概念及内涵；行政决策体制；行政决策过程</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（八）行政执行</w:t>
      </w:r>
    </w:p>
    <w:p>
      <w:pPr>
        <w:keepNext w:val="0"/>
        <w:keepLines w:val="0"/>
        <w:pageBreakBefore w:val="0"/>
        <w:widowControl w:val="0"/>
        <w:kinsoku/>
        <w:wordWrap/>
        <w:overflowPunct/>
        <w:topLinePunct w:val="0"/>
        <w:autoSpaceDE/>
        <w:autoSpaceDN/>
        <w:bidi w:val="0"/>
        <w:adjustRightInd/>
        <w:snapToGrid/>
        <w:spacing w:line="324" w:lineRule="auto"/>
        <w:jc w:val="left"/>
        <w:textAlignment w:val="auto"/>
        <w:rPr>
          <w:rFonts w:hint="eastAsia" w:ascii="仿宋" w:hAnsi="仿宋" w:eastAsia="仿宋" w:cs="仿宋"/>
          <w:sz w:val="24"/>
          <w:szCs w:val="24"/>
        </w:rPr>
      </w:pPr>
      <w:r>
        <w:rPr>
          <w:rFonts w:hint="eastAsia" w:ascii="仿宋" w:hAnsi="仿宋" w:eastAsia="仿宋" w:cs="仿宋"/>
          <w:sz w:val="24"/>
          <w:szCs w:val="24"/>
        </w:rPr>
        <w:t>行政执行相关概念及内涵；行政执行的能力与有效性；行政执行研究的线索、途径和模型；行政执行的方式</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（九）行政方法</w:t>
      </w:r>
    </w:p>
    <w:p>
      <w:pPr>
        <w:keepNext w:val="0"/>
        <w:keepLines w:val="0"/>
        <w:pageBreakBefore w:val="0"/>
        <w:widowControl w:val="0"/>
        <w:kinsoku/>
        <w:wordWrap/>
        <w:overflowPunct/>
        <w:topLinePunct w:val="0"/>
        <w:autoSpaceDE/>
        <w:autoSpaceDN/>
        <w:bidi w:val="0"/>
        <w:adjustRightInd/>
        <w:snapToGrid/>
        <w:spacing w:line="324" w:lineRule="auto"/>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行政基本方法；行政程序；行政计划；行政技术</w:t>
      </w:r>
    </w:p>
    <w:p>
      <w:pPr>
        <w:keepNext w:val="0"/>
        <w:keepLines w:val="0"/>
        <w:pageBreakBefore w:val="0"/>
        <w:widowControl w:val="0"/>
        <w:kinsoku/>
        <w:wordWrap/>
        <w:overflowPunct/>
        <w:topLinePunct w:val="0"/>
        <w:autoSpaceDE/>
        <w:autoSpaceDN/>
        <w:bidi w:val="0"/>
        <w:adjustRightInd/>
        <w:snapToGrid/>
        <w:spacing w:line="324" w:lineRule="auto"/>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（十）行政效率</w:t>
      </w:r>
    </w:p>
    <w:p>
      <w:pPr>
        <w:keepNext w:val="0"/>
        <w:keepLines w:val="0"/>
        <w:pageBreakBefore w:val="0"/>
        <w:widowControl w:val="0"/>
        <w:kinsoku/>
        <w:wordWrap/>
        <w:overflowPunct/>
        <w:topLinePunct w:val="0"/>
        <w:autoSpaceDE/>
        <w:autoSpaceDN/>
        <w:bidi w:val="0"/>
        <w:adjustRightInd/>
        <w:snapToGrid/>
        <w:spacing w:line="324" w:lineRule="auto"/>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行政效率相关概念及内涵；行政效率测定与绩效评估；行政效率测定的方法与技术</w:t>
      </w:r>
    </w:p>
    <w:p>
      <w:pPr>
        <w:keepNext w:val="0"/>
        <w:keepLines w:val="0"/>
        <w:pageBreakBefore w:val="0"/>
        <w:widowControl w:val="0"/>
        <w:kinsoku/>
        <w:wordWrap/>
        <w:overflowPunct/>
        <w:topLinePunct w:val="0"/>
        <w:autoSpaceDE/>
        <w:autoSpaceDN/>
        <w:bidi w:val="0"/>
        <w:adjustRightInd/>
        <w:snapToGrid/>
        <w:spacing w:line="324" w:lineRule="auto"/>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（十一）公共财政</w:t>
      </w:r>
    </w:p>
    <w:p>
      <w:pPr>
        <w:keepNext w:val="0"/>
        <w:keepLines w:val="0"/>
        <w:pageBreakBefore w:val="0"/>
        <w:widowControl w:val="0"/>
        <w:kinsoku/>
        <w:wordWrap/>
        <w:overflowPunct/>
        <w:topLinePunct w:val="0"/>
        <w:autoSpaceDE/>
        <w:autoSpaceDN/>
        <w:bidi w:val="0"/>
        <w:adjustRightInd/>
        <w:snapToGrid/>
        <w:spacing w:line="324" w:lineRule="auto"/>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公共财政的职能与国家预算；公共财政支出与收入；公共财政政策</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（十二）依法行政</w:t>
      </w:r>
    </w:p>
    <w:p>
      <w:pPr>
        <w:keepNext w:val="0"/>
        <w:keepLines w:val="0"/>
        <w:pageBreakBefore w:val="0"/>
        <w:widowControl w:val="0"/>
        <w:kinsoku/>
        <w:wordWrap/>
        <w:overflowPunct/>
        <w:topLinePunct w:val="0"/>
        <w:autoSpaceDE/>
        <w:autoSpaceDN/>
        <w:bidi w:val="0"/>
        <w:adjustRightInd/>
        <w:snapToGrid/>
        <w:spacing w:line="324" w:lineRule="auto"/>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依法行政的历史缘由和发展；依法行政的理论基础；依法行政的制度机制</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（十三）行政行为</w:t>
      </w:r>
    </w:p>
    <w:p>
      <w:pPr>
        <w:keepNext w:val="0"/>
        <w:keepLines w:val="0"/>
        <w:pageBreakBefore w:val="0"/>
        <w:widowControl w:val="0"/>
        <w:kinsoku/>
        <w:wordWrap/>
        <w:overflowPunct/>
        <w:topLinePunct w:val="0"/>
        <w:autoSpaceDE/>
        <w:autoSpaceDN/>
        <w:bidi w:val="0"/>
        <w:adjustRightInd/>
        <w:snapToGrid/>
        <w:spacing w:line="324" w:lineRule="auto"/>
        <w:ind w:firstLine="435"/>
        <w:jc w:val="left"/>
        <w:textAlignment w:val="auto"/>
        <w:rPr>
          <w:rFonts w:hint="eastAsia" w:ascii="仿宋" w:hAnsi="仿宋" w:eastAsia="仿宋" w:cs="仿宋"/>
          <w:sz w:val="24"/>
          <w:szCs w:val="24"/>
        </w:rPr>
      </w:pPr>
      <w:r>
        <w:rPr>
          <w:rFonts w:hint="eastAsia" w:ascii="仿宋" w:hAnsi="仿宋" w:eastAsia="仿宋" w:cs="仿宋"/>
          <w:sz w:val="24"/>
          <w:szCs w:val="24"/>
        </w:rPr>
        <w:t>行政行为相关概念及内涵；行政行为的功能；行政行为的基本方式；行政行为的合法要件；行政违法、行政不当及其行政法律责任</w:t>
      </w:r>
    </w:p>
    <w:p>
      <w:pPr>
        <w:keepNext w:val="0"/>
        <w:keepLines w:val="0"/>
        <w:pageBreakBefore w:val="0"/>
        <w:widowControl w:val="0"/>
        <w:kinsoku/>
        <w:wordWrap/>
        <w:overflowPunct/>
        <w:topLinePunct w:val="0"/>
        <w:autoSpaceDE/>
        <w:autoSpaceDN/>
        <w:bidi w:val="0"/>
        <w:adjustRightInd/>
        <w:snapToGrid/>
        <w:spacing w:line="324" w:lineRule="auto"/>
        <w:ind w:firstLine="435"/>
        <w:jc w:val="left"/>
        <w:textAlignment w:val="auto"/>
        <w:rPr>
          <w:rFonts w:hint="eastAsia" w:ascii="仿宋" w:hAnsi="仿宋" w:eastAsia="仿宋" w:cs="仿宋"/>
          <w:sz w:val="24"/>
          <w:szCs w:val="24"/>
        </w:rPr>
      </w:pPr>
      <w:r>
        <w:rPr>
          <w:rFonts w:hint="eastAsia" w:ascii="仿宋" w:hAnsi="仿宋" w:eastAsia="仿宋" w:cs="仿宋"/>
          <w:sz w:val="24"/>
          <w:szCs w:val="24"/>
        </w:rPr>
        <w:t>（十四）法制行政</w:t>
      </w:r>
    </w:p>
    <w:p>
      <w:pPr>
        <w:keepNext w:val="0"/>
        <w:keepLines w:val="0"/>
        <w:pageBreakBefore w:val="0"/>
        <w:widowControl w:val="0"/>
        <w:kinsoku/>
        <w:wordWrap/>
        <w:overflowPunct/>
        <w:topLinePunct w:val="0"/>
        <w:autoSpaceDE/>
        <w:autoSpaceDN/>
        <w:bidi w:val="0"/>
        <w:adjustRightInd/>
        <w:snapToGrid/>
        <w:spacing w:line="324" w:lineRule="auto"/>
        <w:ind w:firstLine="435"/>
        <w:jc w:val="left"/>
        <w:textAlignment w:val="auto"/>
        <w:rPr>
          <w:rFonts w:hint="eastAsia" w:ascii="仿宋" w:hAnsi="仿宋" w:eastAsia="仿宋" w:cs="仿宋"/>
          <w:sz w:val="24"/>
          <w:szCs w:val="24"/>
        </w:rPr>
      </w:pPr>
      <w:r>
        <w:rPr>
          <w:rFonts w:hint="eastAsia" w:ascii="仿宋" w:hAnsi="仿宋" w:eastAsia="仿宋" w:cs="仿宋"/>
          <w:sz w:val="24"/>
          <w:szCs w:val="24"/>
        </w:rPr>
        <w:t>法制行政相关概念及内涵；行政监督；法制监督；社会监督</w:t>
      </w:r>
    </w:p>
    <w:p>
      <w:pPr>
        <w:keepNext w:val="0"/>
        <w:keepLines w:val="0"/>
        <w:pageBreakBefore w:val="0"/>
        <w:widowControl w:val="0"/>
        <w:kinsoku/>
        <w:wordWrap/>
        <w:overflowPunct/>
        <w:topLinePunct w:val="0"/>
        <w:autoSpaceDE/>
        <w:autoSpaceDN/>
        <w:bidi w:val="0"/>
        <w:adjustRightInd/>
        <w:snapToGrid/>
        <w:spacing w:line="324" w:lineRule="auto"/>
        <w:ind w:firstLine="435"/>
        <w:jc w:val="left"/>
        <w:textAlignment w:val="auto"/>
        <w:rPr>
          <w:rFonts w:hint="eastAsia" w:ascii="仿宋" w:hAnsi="仿宋" w:eastAsia="仿宋" w:cs="仿宋"/>
          <w:sz w:val="24"/>
          <w:szCs w:val="24"/>
        </w:rPr>
      </w:pPr>
      <w:r>
        <w:rPr>
          <w:rFonts w:hint="eastAsia" w:ascii="仿宋" w:hAnsi="仿宋" w:eastAsia="仿宋" w:cs="仿宋"/>
          <w:sz w:val="24"/>
          <w:szCs w:val="24"/>
        </w:rPr>
        <w:t>（十五）行政责任与伦理</w:t>
      </w:r>
    </w:p>
    <w:p>
      <w:pPr>
        <w:keepNext w:val="0"/>
        <w:keepLines w:val="0"/>
        <w:pageBreakBefore w:val="0"/>
        <w:widowControl w:val="0"/>
        <w:kinsoku/>
        <w:wordWrap/>
        <w:overflowPunct/>
        <w:topLinePunct w:val="0"/>
        <w:autoSpaceDE/>
        <w:autoSpaceDN/>
        <w:bidi w:val="0"/>
        <w:adjustRightInd/>
        <w:snapToGrid/>
        <w:spacing w:line="324" w:lineRule="auto"/>
        <w:ind w:firstLine="435"/>
        <w:jc w:val="left"/>
        <w:textAlignment w:val="auto"/>
        <w:rPr>
          <w:rFonts w:hint="eastAsia" w:ascii="仿宋" w:hAnsi="仿宋" w:eastAsia="仿宋" w:cs="仿宋"/>
          <w:sz w:val="24"/>
          <w:szCs w:val="24"/>
        </w:rPr>
      </w:pPr>
      <w:r>
        <w:rPr>
          <w:rFonts w:hint="eastAsia" w:ascii="仿宋" w:hAnsi="仿宋" w:eastAsia="仿宋" w:cs="仿宋"/>
          <w:sz w:val="24"/>
          <w:szCs w:val="24"/>
        </w:rPr>
        <w:t>行政责任与伦理相关概念与内涵；行政责任的确定；行政伦理的结构与功能；政伦理制度化</w:t>
      </w:r>
    </w:p>
    <w:p>
      <w:pPr>
        <w:keepNext w:val="0"/>
        <w:keepLines w:val="0"/>
        <w:pageBreakBefore w:val="0"/>
        <w:widowControl w:val="0"/>
        <w:kinsoku/>
        <w:wordWrap/>
        <w:overflowPunct/>
        <w:topLinePunct w:val="0"/>
        <w:autoSpaceDE/>
        <w:autoSpaceDN/>
        <w:bidi w:val="0"/>
        <w:adjustRightInd/>
        <w:snapToGrid/>
        <w:spacing w:line="324" w:lineRule="auto"/>
        <w:ind w:firstLine="435"/>
        <w:jc w:val="left"/>
        <w:textAlignment w:val="auto"/>
        <w:rPr>
          <w:rFonts w:hint="eastAsia" w:ascii="仿宋" w:hAnsi="仿宋" w:eastAsia="仿宋" w:cs="仿宋"/>
          <w:sz w:val="24"/>
          <w:szCs w:val="24"/>
        </w:rPr>
      </w:pPr>
      <w:r>
        <w:rPr>
          <w:rFonts w:hint="eastAsia" w:ascii="仿宋" w:hAnsi="仿宋" w:eastAsia="仿宋" w:cs="仿宋"/>
          <w:sz w:val="24"/>
          <w:szCs w:val="24"/>
        </w:rPr>
        <w:t>（十六）现代政府能力</w:t>
      </w:r>
    </w:p>
    <w:p>
      <w:pPr>
        <w:keepNext w:val="0"/>
        <w:keepLines w:val="0"/>
        <w:pageBreakBefore w:val="0"/>
        <w:widowControl w:val="0"/>
        <w:kinsoku/>
        <w:wordWrap/>
        <w:overflowPunct/>
        <w:topLinePunct w:val="0"/>
        <w:autoSpaceDE/>
        <w:autoSpaceDN/>
        <w:bidi w:val="0"/>
        <w:adjustRightInd/>
        <w:snapToGrid/>
        <w:spacing w:line="324" w:lineRule="auto"/>
        <w:ind w:firstLine="435"/>
        <w:jc w:val="left"/>
        <w:textAlignment w:val="auto"/>
        <w:rPr>
          <w:rFonts w:hint="eastAsia" w:ascii="仿宋" w:hAnsi="仿宋" w:eastAsia="仿宋" w:cs="仿宋"/>
          <w:sz w:val="24"/>
          <w:szCs w:val="24"/>
        </w:rPr>
      </w:pPr>
      <w:r>
        <w:rPr>
          <w:rFonts w:hint="eastAsia" w:ascii="仿宋" w:hAnsi="仿宋" w:eastAsia="仿宋" w:cs="仿宋"/>
          <w:sz w:val="24"/>
          <w:szCs w:val="24"/>
        </w:rPr>
        <w:t>现代政府能力的内涵；现代政府能力的构成</w:t>
      </w:r>
    </w:p>
    <w:p>
      <w:pPr>
        <w:keepNext w:val="0"/>
        <w:keepLines w:val="0"/>
        <w:pageBreakBefore w:val="0"/>
        <w:widowControl w:val="0"/>
        <w:kinsoku/>
        <w:wordWrap/>
        <w:overflowPunct/>
        <w:topLinePunct w:val="0"/>
        <w:autoSpaceDE/>
        <w:autoSpaceDN/>
        <w:bidi w:val="0"/>
        <w:adjustRightInd/>
        <w:snapToGrid/>
        <w:spacing w:line="324" w:lineRule="auto"/>
        <w:ind w:firstLine="435"/>
        <w:jc w:val="left"/>
        <w:textAlignment w:val="auto"/>
        <w:rPr>
          <w:rFonts w:hint="eastAsia" w:ascii="仿宋" w:hAnsi="仿宋" w:eastAsia="仿宋" w:cs="仿宋"/>
          <w:sz w:val="24"/>
          <w:szCs w:val="24"/>
        </w:rPr>
      </w:pPr>
      <w:r>
        <w:rPr>
          <w:rFonts w:hint="eastAsia" w:ascii="仿宋" w:hAnsi="仿宋" w:eastAsia="仿宋" w:cs="仿宋"/>
          <w:sz w:val="24"/>
          <w:szCs w:val="24"/>
        </w:rPr>
        <w:t>（十七）当代中国行政改革</w:t>
      </w:r>
    </w:p>
    <w:p>
      <w:pPr>
        <w:keepNext w:val="0"/>
        <w:keepLines w:val="0"/>
        <w:pageBreakBefore w:val="0"/>
        <w:widowControl w:val="0"/>
        <w:kinsoku/>
        <w:wordWrap/>
        <w:overflowPunct/>
        <w:topLinePunct w:val="0"/>
        <w:autoSpaceDE/>
        <w:autoSpaceDN/>
        <w:bidi w:val="0"/>
        <w:adjustRightInd/>
        <w:snapToGrid/>
        <w:spacing w:line="324" w:lineRule="auto"/>
        <w:ind w:firstLine="435"/>
        <w:jc w:val="left"/>
        <w:textAlignment w:val="auto"/>
        <w:rPr>
          <w:rFonts w:hint="eastAsia" w:ascii="仿宋" w:hAnsi="仿宋" w:eastAsia="仿宋" w:cs="仿宋"/>
          <w:sz w:val="24"/>
          <w:szCs w:val="24"/>
        </w:rPr>
      </w:pPr>
      <w:r>
        <w:rPr>
          <w:rFonts w:hint="eastAsia" w:ascii="仿宋" w:hAnsi="仿宋" w:eastAsia="仿宋" w:cs="仿宋"/>
          <w:sz w:val="24"/>
          <w:szCs w:val="24"/>
        </w:rPr>
        <w:t>我国政府机构改革的历史沿革与发展；当代中国行政改革的基本价值选择；行政改革的阻力、动力与对策；行政改革的发展趋势</w:t>
      </w:r>
    </w:p>
    <w:p>
      <w:pPr>
        <w:keepNext w:val="0"/>
        <w:keepLines w:val="0"/>
        <w:pageBreakBefore w:val="0"/>
        <w:widowControl w:val="0"/>
        <w:kinsoku/>
        <w:wordWrap/>
        <w:overflowPunct/>
        <w:topLinePunct w:val="0"/>
        <w:autoSpaceDE/>
        <w:autoSpaceDN/>
        <w:bidi w:val="0"/>
        <w:adjustRightInd/>
        <w:snapToGrid/>
        <w:spacing w:line="324" w:lineRule="auto"/>
        <w:jc w:val="left"/>
        <w:textAlignment w:val="auto"/>
        <w:rPr>
          <w:rFonts w:hint="eastAsia" w:ascii="仿宋" w:hAnsi="仿宋" w:eastAsia="仿宋" w:cs="仿宋"/>
          <w:sz w:val="24"/>
          <w:szCs w:val="24"/>
        </w:rPr>
      </w:pPr>
    </w:p>
    <w:sectPr>
      <w:pgSz w:w="11906" w:h="16838"/>
      <w:pgMar w:top="1418" w:right="1134" w:bottom="1134" w:left="113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96"/>
  <w:drawingGridVerticalSpacing w:val="323"/>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gzNTU1NjU1YTQ3ZTQ2NzJjMWUzZDcxYWM2MTBjYzcifQ=="/>
  </w:docVars>
  <w:rsids>
    <w:rsidRoot w:val="00F73A15"/>
    <w:rsid w:val="00002A5C"/>
    <w:rsid w:val="00006F1E"/>
    <w:rsid w:val="000142B9"/>
    <w:rsid w:val="00021372"/>
    <w:rsid w:val="00022A0F"/>
    <w:rsid w:val="0004471B"/>
    <w:rsid w:val="00053B9C"/>
    <w:rsid w:val="00057C79"/>
    <w:rsid w:val="00063661"/>
    <w:rsid w:val="00071B57"/>
    <w:rsid w:val="00075DD8"/>
    <w:rsid w:val="00081A92"/>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55C1"/>
    <w:rsid w:val="0010740E"/>
    <w:rsid w:val="001172ED"/>
    <w:rsid w:val="001423CE"/>
    <w:rsid w:val="001467C2"/>
    <w:rsid w:val="00147B67"/>
    <w:rsid w:val="0015224A"/>
    <w:rsid w:val="00153D62"/>
    <w:rsid w:val="001548B6"/>
    <w:rsid w:val="00155623"/>
    <w:rsid w:val="00155CF3"/>
    <w:rsid w:val="0016195D"/>
    <w:rsid w:val="0016247E"/>
    <w:rsid w:val="00164C02"/>
    <w:rsid w:val="00171D4D"/>
    <w:rsid w:val="0017335F"/>
    <w:rsid w:val="00182826"/>
    <w:rsid w:val="0018386E"/>
    <w:rsid w:val="00187CF5"/>
    <w:rsid w:val="001962B0"/>
    <w:rsid w:val="00196325"/>
    <w:rsid w:val="00196F51"/>
    <w:rsid w:val="001A673C"/>
    <w:rsid w:val="001A7371"/>
    <w:rsid w:val="001B3E6A"/>
    <w:rsid w:val="001C1D30"/>
    <w:rsid w:val="001D3B16"/>
    <w:rsid w:val="001D4033"/>
    <w:rsid w:val="001E0818"/>
    <w:rsid w:val="001F4FDC"/>
    <w:rsid w:val="001F5AB5"/>
    <w:rsid w:val="001F5C2A"/>
    <w:rsid w:val="001F7628"/>
    <w:rsid w:val="0020584A"/>
    <w:rsid w:val="002101AE"/>
    <w:rsid w:val="00213B50"/>
    <w:rsid w:val="00215CD8"/>
    <w:rsid w:val="00226584"/>
    <w:rsid w:val="00232D9C"/>
    <w:rsid w:val="00233EE4"/>
    <w:rsid w:val="002400CF"/>
    <w:rsid w:val="002407BA"/>
    <w:rsid w:val="00245727"/>
    <w:rsid w:val="00247047"/>
    <w:rsid w:val="00253B39"/>
    <w:rsid w:val="00263004"/>
    <w:rsid w:val="00263CBE"/>
    <w:rsid w:val="00263DF5"/>
    <w:rsid w:val="00264088"/>
    <w:rsid w:val="002712E6"/>
    <w:rsid w:val="002734DC"/>
    <w:rsid w:val="002857D8"/>
    <w:rsid w:val="002863E2"/>
    <w:rsid w:val="002877EE"/>
    <w:rsid w:val="002A4159"/>
    <w:rsid w:val="002B1581"/>
    <w:rsid w:val="002B2D38"/>
    <w:rsid w:val="002B42D5"/>
    <w:rsid w:val="002B580A"/>
    <w:rsid w:val="002B5E6C"/>
    <w:rsid w:val="002B7626"/>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A3593"/>
    <w:rsid w:val="003B04F8"/>
    <w:rsid w:val="003B1FB2"/>
    <w:rsid w:val="003B702F"/>
    <w:rsid w:val="003C02F2"/>
    <w:rsid w:val="003C4A1C"/>
    <w:rsid w:val="003D0AE7"/>
    <w:rsid w:val="003D478A"/>
    <w:rsid w:val="003D47E0"/>
    <w:rsid w:val="003D601A"/>
    <w:rsid w:val="003D70D9"/>
    <w:rsid w:val="003E34DF"/>
    <w:rsid w:val="00407CAF"/>
    <w:rsid w:val="00424AC6"/>
    <w:rsid w:val="00427EE3"/>
    <w:rsid w:val="00433D28"/>
    <w:rsid w:val="00434D46"/>
    <w:rsid w:val="00435381"/>
    <w:rsid w:val="00444531"/>
    <w:rsid w:val="00447252"/>
    <w:rsid w:val="00452A63"/>
    <w:rsid w:val="004607EC"/>
    <w:rsid w:val="004609D2"/>
    <w:rsid w:val="004638FC"/>
    <w:rsid w:val="0046690D"/>
    <w:rsid w:val="00477345"/>
    <w:rsid w:val="00482B27"/>
    <w:rsid w:val="0048594F"/>
    <w:rsid w:val="004942D7"/>
    <w:rsid w:val="004963E7"/>
    <w:rsid w:val="004B38BC"/>
    <w:rsid w:val="004B5C0D"/>
    <w:rsid w:val="004C3AAA"/>
    <w:rsid w:val="004D60CB"/>
    <w:rsid w:val="004D7604"/>
    <w:rsid w:val="004E2CA0"/>
    <w:rsid w:val="004F0A69"/>
    <w:rsid w:val="004F2D0C"/>
    <w:rsid w:val="004F2E63"/>
    <w:rsid w:val="00504404"/>
    <w:rsid w:val="0051149E"/>
    <w:rsid w:val="005118F3"/>
    <w:rsid w:val="00514378"/>
    <w:rsid w:val="00516461"/>
    <w:rsid w:val="00522010"/>
    <w:rsid w:val="0052319F"/>
    <w:rsid w:val="00531821"/>
    <w:rsid w:val="005347BE"/>
    <w:rsid w:val="005429D4"/>
    <w:rsid w:val="0054366F"/>
    <w:rsid w:val="005506FB"/>
    <w:rsid w:val="00555BC6"/>
    <w:rsid w:val="00586EC4"/>
    <w:rsid w:val="005875D2"/>
    <w:rsid w:val="00587B52"/>
    <w:rsid w:val="00591027"/>
    <w:rsid w:val="005917AC"/>
    <w:rsid w:val="005966FE"/>
    <w:rsid w:val="005A1FFB"/>
    <w:rsid w:val="005C3A72"/>
    <w:rsid w:val="005D0F90"/>
    <w:rsid w:val="005D2493"/>
    <w:rsid w:val="005D3A0C"/>
    <w:rsid w:val="005E1D94"/>
    <w:rsid w:val="005E4A3C"/>
    <w:rsid w:val="005E7156"/>
    <w:rsid w:val="005F2B82"/>
    <w:rsid w:val="005F35D5"/>
    <w:rsid w:val="0060054D"/>
    <w:rsid w:val="00607AFF"/>
    <w:rsid w:val="006101CB"/>
    <w:rsid w:val="0061101F"/>
    <w:rsid w:val="00615EAA"/>
    <w:rsid w:val="00616111"/>
    <w:rsid w:val="0061638E"/>
    <w:rsid w:val="00622F14"/>
    <w:rsid w:val="00623D87"/>
    <w:rsid w:val="00626B6D"/>
    <w:rsid w:val="00632A9A"/>
    <w:rsid w:val="00633982"/>
    <w:rsid w:val="00633FDA"/>
    <w:rsid w:val="006416D1"/>
    <w:rsid w:val="006452A4"/>
    <w:rsid w:val="00652FAD"/>
    <w:rsid w:val="00656FDF"/>
    <w:rsid w:val="0066577F"/>
    <w:rsid w:val="00666D6B"/>
    <w:rsid w:val="006700D7"/>
    <w:rsid w:val="0067147C"/>
    <w:rsid w:val="006731B9"/>
    <w:rsid w:val="006744AC"/>
    <w:rsid w:val="00677341"/>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F4B"/>
    <w:rsid w:val="007B5252"/>
    <w:rsid w:val="007B5B1B"/>
    <w:rsid w:val="007B5E20"/>
    <w:rsid w:val="007C15FA"/>
    <w:rsid w:val="007C5D9D"/>
    <w:rsid w:val="007C67C1"/>
    <w:rsid w:val="007E2CF2"/>
    <w:rsid w:val="007F6A41"/>
    <w:rsid w:val="008034E7"/>
    <w:rsid w:val="0080549B"/>
    <w:rsid w:val="00810912"/>
    <w:rsid w:val="00826E54"/>
    <w:rsid w:val="0083460B"/>
    <w:rsid w:val="008375AE"/>
    <w:rsid w:val="008376DF"/>
    <w:rsid w:val="0084396E"/>
    <w:rsid w:val="00847B8E"/>
    <w:rsid w:val="00850FC0"/>
    <w:rsid w:val="00851026"/>
    <w:rsid w:val="00852944"/>
    <w:rsid w:val="00862F40"/>
    <w:rsid w:val="008656DD"/>
    <w:rsid w:val="00871C4B"/>
    <w:rsid w:val="00876237"/>
    <w:rsid w:val="00884D4D"/>
    <w:rsid w:val="00887440"/>
    <w:rsid w:val="00890559"/>
    <w:rsid w:val="0089297C"/>
    <w:rsid w:val="0089354A"/>
    <w:rsid w:val="008936E4"/>
    <w:rsid w:val="0089783C"/>
    <w:rsid w:val="00897F88"/>
    <w:rsid w:val="008A237D"/>
    <w:rsid w:val="008A4A04"/>
    <w:rsid w:val="008A6ADA"/>
    <w:rsid w:val="008C1DA9"/>
    <w:rsid w:val="008C7F38"/>
    <w:rsid w:val="008C7FFC"/>
    <w:rsid w:val="008D3202"/>
    <w:rsid w:val="008D47A1"/>
    <w:rsid w:val="008D584E"/>
    <w:rsid w:val="008E21A3"/>
    <w:rsid w:val="008E4047"/>
    <w:rsid w:val="008E5985"/>
    <w:rsid w:val="008E6CD8"/>
    <w:rsid w:val="008F7632"/>
    <w:rsid w:val="00901C1F"/>
    <w:rsid w:val="009137CB"/>
    <w:rsid w:val="0091578D"/>
    <w:rsid w:val="00917E5E"/>
    <w:rsid w:val="00925A85"/>
    <w:rsid w:val="00931669"/>
    <w:rsid w:val="009403B1"/>
    <w:rsid w:val="00951421"/>
    <w:rsid w:val="009526CD"/>
    <w:rsid w:val="00953363"/>
    <w:rsid w:val="009675A5"/>
    <w:rsid w:val="00970A7C"/>
    <w:rsid w:val="0097437F"/>
    <w:rsid w:val="00976A9C"/>
    <w:rsid w:val="009830F3"/>
    <w:rsid w:val="00984A1F"/>
    <w:rsid w:val="0098605F"/>
    <w:rsid w:val="009952D5"/>
    <w:rsid w:val="00995E03"/>
    <w:rsid w:val="009A0A83"/>
    <w:rsid w:val="009A26C0"/>
    <w:rsid w:val="009C0F1F"/>
    <w:rsid w:val="009C18D7"/>
    <w:rsid w:val="009D1B5C"/>
    <w:rsid w:val="009D24F1"/>
    <w:rsid w:val="009D31A4"/>
    <w:rsid w:val="009D60F1"/>
    <w:rsid w:val="009E560D"/>
    <w:rsid w:val="009E6BE9"/>
    <w:rsid w:val="009F2B66"/>
    <w:rsid w:val="009F5C63"/>
    <w:rsid w:val="00A0191E"/>
    <w:rsid w:val="00A02106"/>
    <w:rsid w:val="00A04BD0"/>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2CC0"/>
    <w:rsid w:val="00A83CB7"/>
    <w:rsid w:val="00A8543B"/>
    <w:rsid w:val="00AA7A36"/>
    <w:rsid w:val="00AB682D"/>
    <w:rsid w:val="00AC3AEA"/>
    <w:rsid w:val="00AC6EE3"/>
    <w:rsid w:val="00AD0F3E"/>
    <w:rsid w:val="00AD6852"/>
    <w:rsid w:val="00AE627C"/>
    <w:rsid w:val="00AE64A4"/>
    <w:rsid w:val="00AF3549"/>
    <w:rsid w:val="00AF78A7"/>
    <w:rsid w:val="00B33CC6"/>
    <w:rsid w:val="00B352B6"/>
    <w:rsid w:val="00B3585C"/>
    <w:rsid w:val="00B41E39"/>
    <w:rsid w:val="00B47726"/>
    <w:rsid w:val="00B51969"/>
    <w:rsid w:val="00B564FF"/>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4F34"/>
    <w:rsid w:val="00C35D66"/>
    <w:rsid w:val="00C37719"/>
    <w:rsid w:val="00C606DC"/>
    <w:rsid w:val="00C731FB"/>
    <w:rsid w:val="00C73D3D"/>
    <w:rsid w:val="00C74BE9"/>
    <w:rsid w:val="00C819B3"/>
    <w:rsid w:val="00C85A5C"/>
    <w:rsid w:val="00C916F3"/>
    <w:rsid w:val="00C9349A"/>
    <w:rsid w:val="00C94F58"/>
    <w:rsid w:val="00CA18DC"/>
    <w:rsid w:val="00CB2F8F"/>
    <w:rsid w:val="00CB548E"/>
    <w:rsid w:val="00CB69F5"/>
    <w:rsid w:val="00CC3CD9"/>
    <w:rsid w:val="00CC52C9"/>
    <w:rsid w:val="00CC788A"/>
    <w:rsid w:val="00CD0ACD"/>
    <w:rsid w:val="00CD488E"/>
    <w:rsid w:val="00CE0B79"/>
    <w:rsid w:val="00CE6AC9"/>
    <w:rsid w:val="00CF16DE"/>
    <w:rsid w:val="00D01BCD"/>
    <w:rsid w:val="00D2031A"/>
    <w:rsid w:val="00D23B98"/>
    <w:rsid w:val="00D42592"/>
    <w:rsid w:val="00D501D8"/>
    <w:rsid w:val="00D50F88"/>
    <w:rsid w:val="00D54F9E"/>
    <w:rsid w:val="00D604DE"/>
    <w:rsid w:val="00D640AD"/>
    <w:rsid w:val="00D7373B"/>
    <w:rsid w:val="00D74290"/>
    <w:rsid w:val="00D74897"/>
    <w:rsid w:val="00D8154A"/>
    <w:rsid w:val="00DA0716"/>
    <w:rsid w:val="00DB2642"/>
    <w:rsid w:val="00DB2B3E"/>
    <w:rsid w:val="00DB3E7A"/>
    <w:rsid w:val="00DB5A20"/>
    <w:rsid w:val="00DD2F13"/>
    <w:rsid w:val="00DE2066"/>
    <w:rsid w:val="00DF72FA"/>
    <w:rsid w:val="00E01DAD"/>
    <w:rsid w:val="00E032FE"/>
    <w:rsid w:val="00E10130"/>
    <w:rsid w:val="00E13C52"/>
    <w:rsid w:val="00E16D06"/>
    <w:rsid w:val="00E26282"/>
    <w:rsid w:val="00E3397F"/>
    <w:rsid w:val="00E37BFB"/>
    <w:rsid w:val="00E40EB6"/>
    <w:rsid w:val="00E4240F"/>
    <w:rsid w:val="00E543C5"/>
    <w:rsid w:val="00E55925"/>
    <w:rsid w:val="00E55F14"/>
    <w:rsid w:val="00E5719A"/>
    <w:rsid w:val="00E602CC"/>
    <w:rsid w:val="00E61139"/>
    <w:rsid w:val="00E61DC2"/>
    <w:rsid w:val="00E64E87"/>
    <w:rsid w:val="00E65B23"/>
    <w:rsid w:val="00E70F16"/>
    <w:rsid w:val="00E7138A"/>
    <w:rsid w:val="00E74EE5"/>
    <w:rsid w:val="00E83972"/>
    <w:rsid w:val="00E916C8"/>
    <w:rsid w:val="00EA3F3C"/>
    <w:rsid w:val="00EB022D"/>
    <w:rsid w:val="00EB31EF"/>
    <w:rsid w:val="00EC3C1E"/>
    <w:rsid w:val="00EC4D3C"/>
    <w:rsid w:val="00ED0AB8"/>
    <w:rsid w:val="00EE25B4"/>
    <w:rsid w:val="00F0239A"/>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61EA8"/>
    <w:rsid w:val="00F6206F"/>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 w:val="0E7E366C"/>
    <w:rsid w:val="271F2BBD"/>
    <w:rsid w:val="355B638F"/>
    <w:rsid w:val="40C43ACA"/>
    <w:rsid w:val="647C2A0E"/>
    <w:rsid w:val="6C384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unhideWhenUsed/>
    <w:qFormat/>
    <w:uiPriority w:val="99"/>
    <w:pPr>
      <w:spacing w:beforeLines="30" w:line="480" w:lineRule="exact"/>
      <w:ind w:firstLine="520" w:firstLineChars="200"/>
    </w:pPr>
    <w:rPr>
      <w:rFonts w:hAnsi="宋体"/>
      <w:sz w:val="26"/>
      <w:szCs w:val="32"/>
    </w:rPr>
  </w:style>
  <w:style w:type="paragraph" w:styleId="3">
    <w:name w:val="Balloon Text"/>
    <w:basedOn w:val="1"/>
    <w:semiHidden/>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0"/>
    <w:rPr>
      <w:color w:val="0000FF"/>
      <w:u w:val="single"/>
    </w:rPr>
  </w:style>
  <w:style w:type="character" w:customStyle="1" w:styleId="10">
    <w:name w:val="页眉 字符"/>
    <w:link w:val="5"/>
    <w:qFormat/>
    <w:uiPriority w:val="0"/>
    <w:rPr>
      <w:kern w:val="2"/>
      <w:sz w:val="18"/>
      <w:szCs w:val="18"/>
    </w:rPr>
  </w:style>
  <w:style w:type="character" w:customStyle="1" w:styleId="11">
    <w:name w:val="页脚 字符"/>
    <w:link w:val="4"/>
    <w:qFormat/>
    <w:uiPriority w:val="0"/>
    <w:rPr>
      <w:kern w:val="2"/>
      <w:sz w:val="18"/>
      <w:szCs w:val="18"/>
    </w:rPr>
  </w:style>
  <w:style w:type="character" w:customStyle="1" w:styleId="12">
    <w:name w:val="apple-converted-space"/>
    <w:basedOn w:val="8"/>
    <w:qFormat/>
    <w:uiPriority w:val="0"/>
  </w:style>
  <w:style w:type="character" w:customStyle="1" w:styleId="13">
    <w:name w:val="正文文本缩进 字符"/>
    <w:link w:val="2"/>
    <w:qFormat/>
    <w:uiPriority w:val="99"/>
    <w:rPr>
      <w:rFonts w:hAnsi="宋体"/>
      <w:kern w:val="2"/>
      <w:sz w:val="26"/>
      <w:szCs w:val="32"/>
    </w:rPr>
  </w:style>
  <w:style w:type="paragraph" w:customStyle="1" w:styleId="14">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湘潭大学研招办</Company>
  <Pages>3</Pages>
  <Words>1240</Words>
  <Characters>1250</Characters>
  <Lines>9</Lines>
  <Paragraphs>2</Paragraphs>
  <TotalTime>5</TotalTime>
  <ScaleCrop>false</ScaleCrop>
  <LinksUpToDate>false</LinksUpToDate>
  <CharactersWithSpaces>1329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2019-09-23T08:52:00Z</dcterms:created>
  <dc:creator>李丽兰</dc:creator>
  <cp:lastModifiedBy>子嫣麻麻</cp:lastModifiedBy>
  <cp:lastPrinted>2018-07-16T02:14:00Z</cp:lastPrinted>
  <dcterms:modified xsi:type="dcterms:W3CDTF">2022-09-21T09:49:40Z</dcterms:modified>
  <dc:title>关于编制2002年硕士研究生招生专业目录的通知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54C19CBF49134330AE03214462CEE381</vt:lpwstr>
  </property>
</Properties>
</file>