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  <w:bookmarkStart w:id="28" w:name="_GoBack"/>
      <w:bookmarkEnd w:id="28"/>
      <w:r>
        <w:rPr>
          <w:rFonts w:eastAsia="黑体"/>
          <w:b/>
          <w:sz w:val="36"/>
          <w:szCs w:val="36"/>
        </w:rPr>
        <w:t>202</w:t>
      </w:r>
      <w:r>
        <w:rPr>
          <w:rFonts w:eastAsia="黑体"/>
          <w:b/>
          <w:color w:val="auto"/>
          <w:sz w:val="36"/>
          <w:szCs w:val="36"/>
        </w:rPr>
        <w:t>3</w:t>
      </w:r>
      <w:r>
        <w:rPr>
          <w:rFonts w:eastAsia="黑体"/>
          <w:b/>
          <w:sz w:val="36"/>
          <w:szCs w:val="36"/>
        </w:rPr>
        <w:t>年全国研究生入学考试税务硕士自命题科目</w:t>
      </w:r>
    </w:p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《税务专业基础》考试大纲</w:t>
      </w:r>
    </w:p>
    <w:p>
      <w:pPr>
        <w:spacing w:before="156" w:beforeLines="50" w:after="156" w:afterLines="50" w:line="360" w:lineRule="auto"/>
        <w:ind w:firstLine="562" w:firstLineChars="200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一 考试性质</w:t>
      </w:r>
    </w:p>
    <w:p>
      <w:pPr>
        <w:spacing w:before="156" w:beforeLines="50" w:after="156" w:afterLines="50" w:line="360" w:lineRule="auto"/>
        <w:ind w:firstLine="480" w:firstLineChars="200"/>
        <w:rPr>
          <w:sz w:val="24"/>
        </w:rPr>
      </w:pPr>
      <w:r>
        <w:rPr>
          <w:sz w:val="24"/>
        </w:rPr>
        <w:t>《税务专业基础》是全国税务专业硕士入学初试考试的专业基础课程。</w:t>
      </w:r>
    </w:p>
    <w:p>
      <w:pPr>
        <w:spacing w:before="156" w:beforeLines="50" w:after="156" w:afterLines="50" w:line="360" w:lineRule="auto"/>
        <w:ind w:firstLine="562" w:firstLineChars="200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二 考试目标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考试大纲的制定力求反映税务硕士专业学位的特点，科学、准确、规范地测评考生税收学的基本素质和综合能力，具体考察考生对税收基础理论、中国税制实务与税收管理制度的掌握与运用，为国家培养具有良好职业道德和职业素养、具有较强分析问题与解决问题能力的高层次、应用型、复合型的税务专业人才。本考试旨在三个层次上测试考生对税收学基础与国际税收、中国税制实务、税收前沿动态与热点分析。三个层次的基本要求分别为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1、熟悉记忆： 对税收原理与制度规定的记忆方面的考核。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2、分析判断： 用税收基本原理与制度规定来分析判断某一具体观点和问题；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3、综合运用： 运用所学的税收理论和制度规定来综合分析具体实践问题。</w:t>
      </w:r>
    </w:p>
    <w:p>
      <w:pPr>
        <w:spacing w:before="156" w:beforeLines="50" w:after="156" w:afterLines="50" w:line="360" w:lineRule="auto"/>
        <w:ind w:firstLine="562" w:firstLineChars="200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三 考试形式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1、试卷满分及考试时间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本试卷满分为150分，考试时间为180分钟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2、答题方式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答题方式为闭卷、笔试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3、考试题型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（1）选择题与判断题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（2）简答题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（3）计算题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（4）综合分析题与论述题　</w:t>
      </w:r>
    </w:p>
    <w:p>
      <w:pPr>
        <w:spacing w:before="156" w:beforeLines="50" w:after="156" w:afterLines="50" w:line="360" w:lineRule="auto"/>
        <w:ind w:firstLine="562" w:firstLineChars="200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br w:type="page"/>
      </w:r>
      <w:r>
        <w:rPr>
          <w:rStyle w:val="8"/>
          <w:sz w:val="28"/>
          <w:szCs w:val="28"/>
        </w:rPr>
        <w:t>四 考试内容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第一部分 税收基础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第一章 考核知识点 </w:t>
      </w:r>
    </w:p>
    <w:p>
      <w:pPr>
        <w:spacing w:line="360" w:lineRule="auto"/>
        <w:ind w:left="480"/>
        <w:rPr>
          <w:sz w:val="24"/>
        </w:rPr>
      </w:pPr>
      <w:r>
        <w:rPr>
          <w:sz w:val="24"/>
        </w:rPr>
        <w:t>1、税法概述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sz w:val="24"/>
        </w:rPr>
      </w:pPr>
      <w:r>
        <w:rPr>
          <w:sz w:val="24"/>
        </w:rPr>
        <w:t>应掌</w:t>
      </w:r>
      <w:bookmarkStart w:id="0" w:name="_Hlk13931975"/>
      <w:r>
        <w:rPr>
          <w:sz w:val="24"/>
        </w:rPr>
        <w:t>握</w:t>
      </w:r>
      <w:bookmarkEnd w:id="0"/>
      <w:r>
        <w:rPr>
          <w:sz w:val="24"/>
        </w:rPr>
        <w:t>的内容：税法的概念，税法原则，税法的效力与解释。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(2)应熟悉的内容：税法的特点，税法的作用，税法与其他部门法的关系。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2、税法的分类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应掌握的内容：按税法内容分类，按税法效力分类。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3、税收法律关系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应掌握的内容：税收法律关系的概念与特点，税收法律关系的主体，税收法律关系的客体，税收法律关系的内容，税收法律关系的产生、 变更、 消灭。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4、税收执法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(1)应掌握的内容：税款征收管理权限划分，税收征管范围划分， 税收收入划分。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(2)应熟悉的内容：税收执法中适用的原则，税务机构设置。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第二部分 商品与劳务税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1" w:name="_Hlk81259381"/>
      <w:r>
        <w:rPr>
          <w:b/>
          <w:color w:val="000000"/>
          <w:kern w:val="0"/>
          <w:sz w:val="24"/>
        </w:rPr>
        <w:t xml:space="preserve">第二章 考核知识点 </w:t>
      </w:r>
    </w:p>
    <w:bookmarkEnd w:id="1"/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1、增值税的基本原理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(1)应掌握的内容：增值税的概念、特点，增值税的性质及其计税原理，增值税的计税方法。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增值税的类型、增值税的优点。</w:t>
      </w:r>
    </w:p>
    <w:p>
      <w:pPr>
        <w:spacing w:line="360" w:lineRule="auto"/>
        <w:ind w:firstLine="480" w:firstLineChars="200"/>
        <w:rPr>
          <w:sz w:val="24"/>
        </w:rPr>
      </w:pPr>
      <w:bookmarkStart w:id="2" w:name="_Hlk13949304"/>
      <w:r>
        <w:rPr>
          <w:sz w:val="24"/>
        </w:rPr>
        <w:t>2、增值税的税收制度</w:t>
      </w:r>
    </w:p>
    <w:bookmarkEnd w:id="2"/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 纳税人和扣缴义务人的基本规定，纳税人的分类及认定，征税范围、税率、销项税额、进项税额，应纳税额的计算，房地产开发企业销售自行开发的房地产项目增值税征收与管理，出口货物劳务增值税和消费税退 (免) 税，纳税义务发生时间、纳税期限、纳税地点。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减税与免税，成品油零售加油站增值税规定，电力产品征收增值税的具体规定，转让不动产增值税征收管理，提供不动产经营租赁服务增值税征收管理，资管产品运营业务增值税征收管理，单用途卡和多用途卡增值税征收管理，增值税专用发票的使用与管理。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3" w:name="_Hlk13949336"/>
      <w:r>
        <w:rPr>
          <w:b/>
          <w:color w:val="000000"/>
          <w:kern w:val="0"/>
          <w:sz w:val="24"/>
        </w:rPr>
        <w:t xml:space="preserve">第三章 考核知识点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1、消费税的基本原理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(1)应掌握的内容：消费税的概念、特点。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(2)应熟悉的内容：消费税的征税原则。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2、消费税的税收制度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纳税人、税目与税率，计税依据、应纳税额的计算，自产应税消费品、委托加工应税消费品、进口应税消费品消费税计算，消费税征税环节的特殊规定，纳税义务发生时间、纳税地点、纳税环节、纳税期限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(2)应熟悉的内容：出口应税消费品退 (免) 消费税、消费税报缴税款的方法。</w:t>
      </w:r>
    </w:p>
    <w:bookmarkEnd w:id="3"/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第四章 考核知识点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1、关税的基本原理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(1)应掌握的内容：关税的概念、特点。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(2)应熟悉的内容：关税的分类。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2、关税的税收制度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(1)应掌握的内容：征税对象、纳税人、税率，完税价格，进口货物完税价格中的运输及其相关费用、 保险费的计算，应纳税额的计算，申报和缴纳。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(2)应熟悉的内容：关税原产地的规定，成交价格的调整项目，特殊进口货物的完税价格，出口货物的完税价格，关税减免税。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第三部分 所得税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4" w:name="_Hlk81259545"/>
      <w:r>
        <w:rPr>
          <w:b/>
          <w:color w:val="000000"/>
          <w:kern w:val="0"/>
          <w:sz w:val="24"/>
        </w:rPr>
        <w:t xml:space="preserve">第五章 考核知识点 </w:t>
      </w:r>
    </w:p>
    <w:bookmarkEnd w:id="4"/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1、个人所得税的基本原理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(1)应掌握的内容：个人所得税的概念、特点。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(2)应熟悉的内容：个人所得税的立法原则。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2、个人所得税的税收制度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</w:t>
      </w:r>
      <w:bookmarkStart w:id="5" w:name="_Hlk13987691"/>
      <w:r>
        <w:rPr>
          <w:sz w:val="24"/>
        </w:rPr>
        <w:t>征税范围、纳税人、税率</w:t>
      </w:r>
      <w:bookmarkEnd w:id="5"/>
      <w:r>
        <w:rPr>
          <w:sz w:val="24"/>
        </w:rPr>
        <w:t>，计税依据与应纳税所得额计算，应纳税额计算，申报和缴纳。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(2)应熟悉的内容：减免税优惠。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第六章 考核知识点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1、企业所得税的基本原理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(1)应掌握的内容：企业所得税的概念、特点。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(2)应熟悉的内容：各国对企业所得税征税的一般做法。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2、企业所得税的税收制度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(1)应掌握的内容：纳税人、征税对象、税率，应纳税所得额的计算，资产的所得税处理，资产损失税前扣除的所得税处理，应纳税额的计算，税收优惠，纳税地点、纳税期限、纳税申报。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sz w:val="24"/>
        </w:rPr>
        <w:t>(2)应熟悉的内容：企业重组的所得税处理，源泉扣缴，特别纳税调整，跨地区经营汇总纳税企业所得税征收管理办法，新增企业所得税征管范围调整。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第七章 考核知识点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1、国际税法的概念及原则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(1)应掌握的内容：国际税收的概念。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(2)应熟悉的内容：国际税收的基本原则。</w:t>
      </w:r>
    </w:p>
    <w:p>
      <w:pPr>
        <w:spacing w:line="360" w:lineRule="auto"/>
        <w:ind w:firstLine="480" w:firstLineChars="200"/>
        <w:rPr>
          <w:sz w:val="24"/>
        </w:rPr>
      </w:pPr>
      <w:bookmarkStart w:id="6" w:name="_Toc417916670"/>
      <w:r>
        <w:rPr>
          <w:sz w:val="24"/>
        </w:rPr>
        <w:t>2、税收管辖权</w:t>
      </w:r>
      <w:bookmarkEnd w:id="6"/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应掌握的内容：税收管辖权的概念和分类，约束税收管辖权的国际惯例。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3、国际重复征税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应掌握的内容：国际税收抵免制度，国际重复征税及其避免。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4、国际避税与反避税</w:t>
      </w:r>
    </w:p>
    <w:p>
      <w:pPr>
        <w:spacing w:line="360" w:lineRule="auto"/>
        <w:ind w:firstLine="480" w:firstLineChars="200"/>
        <w:rPr>
          <w:spacing w:val="-4"/>
          <w:sz w:val="24"/>
        </w:rPr>
      </w:pPr>
      <w:r>
        <w:rPr>
          <w:sz w:val="24"/>
        </w:rPr>
        <w:t>(1)应</w:t>
      </w:r>
      <w:r>
        <w:rPr>
          <w:spacing w:val="-4"/>
          <w:sz w:val="24"/>
        </w:rPr>
        <w:t>掌握的内容：国际避税的基本方式和方法，国际反避税，转让定价税制。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(2)应熟悉的内容：国际避税地。</w:t>
      </w:r>
    </w:p>
    <w:p>
      <w:pPr>
        <w:spacing w:line="360" w:lineRule="auto"/>
        <w:ind w:firstLine="480" w:firstLineChars="200"/>
        <w:rPr>
          <w:sz w:val="24"/>
        </w:rPr>
      </w:pPr>
      <w:bookmarkStart w:id="7" w:name="_Toc417916673"/>
      <w:r>
        <w:rPr>
          <w:sz w:val="24"/>
        </w:rPr>
        <w:t>5、国际税收协定</w:t>
      </w:r>
      <w:bookmarkEnd w:id="7"/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应掌握的内容：国际税收协定的概念，国际税收协定的基本内容，对外签订的税收协定与国内税法的关系。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第四部分 财产税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第八章 考核知识点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1、土地增值税的基本原理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</w:t>
      </w:r>
      <w:bookmarkStart w:id="8" w:name="_Hlk13987615"/>
      <w:r>
        <w:rPr>
          <w:sz w:val="24"/>
        </w:rPr>
        <w:t>土地增值税的</w:t>
      </w:r>
      <w:bookmarkEnd w:id="8"/>
      <w:r>
        <w:rPr>
          <w:sz w:val="24"/>
        </w:rPr>
        <w:t>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(2)应熟悉的内容：土地增值税的立法原则。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2、土地增值税的税收制度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(1)应掌握的内容：征税范围、纳税人、税率，转让房地产增值额的确定，应纳税额的计算，减免税优惠。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(2)应熟悉的内容：申报和缴纳。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9" w:name="_Hlk14036154"/>
      <w:r>
        <w:rPr>
          <w:b/>
          <w:color w:val="000000"/>
          <w:kern w:val="0"/>
          <w:sz w:val="24"/>
        </w:rPr>
        <w:t xml:space="preserve">第九章 考核知识点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1、房产税的基本原理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应掌握的内容：房产税的概念、特点。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2、房产税的税收制度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(1)应掌握的内容：征税范围、纳税人、税率，计税依据和应纳税额计算，申报和缴纳。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(2)应熟悉的内容：减免税优惠。</w:t>
      </w:r>
    </w:p>
    <w:bookmarkEnd w:id="9"/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10" w:name="_Hlk81259716"/>
      <w:bookmarkStart w:id="11" w:name="_Hlk13953098"/>
      <w:bookmarkStart w:id="12" w:name="_Hlk14036431"/>
      <w:r>
        <w:rPr>
          <w:b/>
          <w:color w:val="000000"/>
          <w:kern w:val="0"/>
          <w:sz w:val="24"/>
        </w:rPr>
        <w:t xml:space="preserve">第十章 考核知识点 </w:t>
      </w:r>
    </w:p>
    <w:bookmarkEnd w:id="10"/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1、车船税的基本原理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应掌握的内容：车船税的概念。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2、车船税的税收制度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(1)应掌握的内容：征税范围、纳税人、税率，应纳税额计算，减免税优惠。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(2)应熟悉的内容：申报和缴纳。</w:t>
      </w:r>
    </w:p>
    <w:bookmarkEnd w:id="11"/>
    <w:bookmarkEnd w:id="12"/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13" w:name="_Hlk14036697"/>
      <w:r>
        <w:rPr>
          <w:b/>
          <w:color w:val="000000"/>
          <w:kern w:val="0"/>
          <w:sz w:val="24"/>
        </w:rPr>
        <w:t xml:space="preserve">第十一章 考核知识点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1、资源税的基本原理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应掌握的内容：资源税的概念、特点。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2、资源税的税收制度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(1)应掌握的内容：征税范围、纳税人、税目和税额，应纳税额计算，申报和缴纳。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(2)应熟悉的内容：减免税优惠。</w:t>
      </w:r>
    </w:p>
    <w:bookmarkEnd w:id="13"/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14" w:name="_Hlk81259756"/>
      <w:bookmarkStart w:id="15" w:name="_Hlk14036893"/>
      <w:r>
        <w:rPr>
          <w:b/>
          <w:color w:val="000000"/>
          <w:kern w:val="0"/>
          <w:sz w:val="24"/>
        </w:rPr>
        <w:t xml:space="preserve">第十二章 考核知识点 </w:t>
      </w:r>
    </w:p>
    <w:bookmarkEnd w:id="14"/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1、契税的基本原理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应掌握的内容：契税的概念、特点。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2、契税的税收制度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(1)应掌握的内容：征税范围、纳税人、税率，计税依据和应纳税额计算，减免税优惠。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(2)应熟悉的内容：申报和缴纳。</w:t>
      </w:r>
    </w:p>
    <w:bookmarkEnd w:id="15"/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16" w:name="_Hlk14037092"/>
      <w:r>
        <w:rPr>
          <w:b/>
          <w:color w:val="000000"/>
          <w:kern w:val="0"/>
          <w:sz w:val="24"/>
        </w:rPr>
        <w:t xml:space="preserve">第十三章 考核知识点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1、城镇土地使用税的基本原理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应掌握的内容：城镇土地使用税的概念、特点。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2、城镇土地使用税的税收制度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(1)应掌握的内容：征税范围、纳税人、适用税额，计税依据和应纳税额计算。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(2)应熟悉的内容：减免税优惠、申报和缴纳。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第五部分 行为税</w:t>
      </w:r>
    </w:p>
    <w:bookmarkEnd w:id="16"/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17" w:name="_Hlk81259849"/>
      <w:bookmarkStart w:id="18" w:name="_Hlk13953409"/>
      <w:bookmarkStart w:id="19" w:name="_Hlk14037256"/>
      <w:r>
        <w:rPr>
          <w:b/>
          <w:color w:val="000000"/>
          <w:kern w:val="0"/>
          <w:sz w:val="24"/>
        </w:rPr>
        <w:t>第十四章 考核知识点</w:t>
      </w:r>
      <w:bookmarkEnd w:id="17"/>
      <w:r>
        <w:rPr>
          <w:b/>
          <w:color w:val="000000"/>
          <w:kern w:val="0"/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1、印花税的基本原理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应掌握的内容：印花税的概念、特点。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2、印花税的税收制度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(1)应掌握的内容：征税范围、纳税人、税率，计税依据和应纳税额计算、申报和缴纳。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(2)应熟悉的内容：减免税优惠。</w:t>
      </w:r>
    </w:p>
    <w:bookmarkEnd w:id="18"/>
    <w:bookmarkEnd w:id="19"/>
    <w:p>
      <w:pPr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20" w:name="_Hlk14037380"/>
      <w:r>
        <w:rPr>
          <w:b/>
          <w:color w:val="000000"/>
          <w:kern w:val="0"/>
          <w:sz w:val="24"/>
        </w:rPr>
        <w:t>第十五章 考核知识点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1、耕地占用税的基本原理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应掌握的内容：耕地占用税的概念、特点。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2、耕地占用税的税收制度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(1)应掌握的内容：征税范围、纳税人、税率，应纳税额计算、申报和缴纳。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(2)应熟悉的内容：减免税优惠。</w:t>
      </w:r>
    </w:p>
    <w:bookmarkEnd w:id="20"/>
    <w:p>
      <w:pPr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21" w:name="_Hlk81259895"/>
      <w:bookmarkStart w:id="22" w:name="_Hlk14037596"/>
      <w:r>
        <w:rPr>
          <w:b/>
          <w:color w:val="000000"/>
          <w:kern w:val="0"/>
          <w:sz w:val="24"/>
        </w:rPr>
        <w:t>第十六章 考核知识点</w:t>
      </w:r>
    </w:p>
    <w:bookmarkEnd w:id="21"/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</w:t>
      </w:r>
      <w:bookmarkStart w:id="23" w:name="_Hlk14037446"/>
      <w:r>
        <w:rPr>
          <w:sz w:val="24"/>
        </w:rPr>
        <w:t>车辆购置</w:t>
      </w:r>
      <w:bookmarkEnd w:id="23"/>
      <w:r>
        <w:rPr>
          <w:sz w:val="24"/>
        </w:rPr>
        <w:t>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应掌握的内容：车辆购置税的概念、特点。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2、车辆购置税的税收制度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(1)应掌握的内容：征税范围、纳税人、税率，应纳税额计算、申报和缴纳。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(2)应熟悉的内容：减免税优惠。</w:t>
      </w:r>
    </w:p>
    <w:bookmarkEnd w:id="22"/>
    <w:p>
      <w:pPr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24" w:name="_Hlk14037734"/>
      <w:bookmarkStart w:id="25" w:name="_Hlk13953753"/>
      <w:r>
        <w:rPr>
          <w:b/>
          <w:color w:val="000000"/>
          <w:kern w:val="0"/>
          <w:sz w:val="24"/>
        </w:rPr>
        <w:t>第十七章 考核知识点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1、船舶吨税的基本原理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应掌握的内容：船舶吨税的概念、特点。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2、船舶吨税的税收制度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(1)应掌握的内容：征税范围、纳税人、税额，应纳税额计算。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(2)应熟悉的内容：减免税优惠、申报和缴纳。</w:t>
      </w:r>
    </w:p>
    <w:bookmarkEnd w:id="24"/>
    <w:p>
      <w:pPr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bookmarkStart w:id="26" w:name="_Hlk14038008"/>
      <w:r>
        <w:rPr>
          <w:b/>
          <w:color w:val="000000"/>
          <w:kern w:val="0"/>
          <w:sz w:val="24"/>
        </w:rPr>
        <w:t>第十八章 考核知识点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1、环境保护税的基本原理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应掌握的内容：环境保护税的概念、立法目的。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2、环境保护税的税收制度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(1)应掌握的内容：征税范围、纳税人、税目、税额，计税依据与应纳税额、减免税优惠。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(2)应熟悉的内容：申报和缴纳。</w:t>
      </w:r>
    </w:p>
    <w:bookmarkEnd w:id="25"/>
    <w:bookmarkEnd w:id="26"/>
    <w:p>
      <w:pPr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第十九章 考核知识点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</w:t>
      </w:r>
      <w:bookmarkStart w:id="27" w:name="_Hlk14038100"/>
      <w:r>
        <w:rPr>
          <w:sz w:val="24"/>
        </w:rPr>
        <w:t>城市维护建设税与教育费附加</w:t>
      </w:r>
      <w:bookmarkEnd w:id="27"/>
      <w:r>
        <w:rPr>
          <w:sz w:val="24"/>
        </w:rPr>
        <w:t>的基本原理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应掌握的内容：城市维护建设税与教育费附加的概念、特点。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2、城市维护建设税与教育费附加的税收制度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(1)应掌握的内容：征税范围、纳税人、税率、税目、税额，计税依据与应纳税额计算、减免税优惠。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(2)应熟悉的内容：申报和缴纳。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3、烟叶税基本原理与制度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(1)应掌握的内容：征税范围、纳税人、税目、税额，计税依据与应纳税额、减免税优惠。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(2)应熟悉的内容：申报和缴纳。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第六部分 税收前沿动态与热点分析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根据媒体、报刊、杂志收集整理截止至</w:t>
      </w:r>
      <w:r>
        <w:rPr>
          <w:color w:val="auto"/>
          <w:sz w:val="24"/>
        </w:rPr>
        <w:t>2022年8月31日</w:t>
      </w:r>
      <w:r>
        <w:rPr>
          <w:sz w:val="24"/>
        </w:rPr>
        <w:t>止的税收政策和税收热点分析。</w:t>
      </w:r>
    </w:p>
    <w:p>
      <w:pPr>
        <w:spacing w:before="156" w:beforeLines="50" w:after="156" w:afterLines="50" w:line="360" w:lineRule="auto"/>
        <w:ind w:firstLine="562" w:firstLineChars="200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br w:type="page"/>
      </w:r>
      <w:r>
        <w:rPr>
          <w:rStyle w:val="8"/>
          <w:sz w:val="28"/>
          <w:szCs w:val="28"/>
        </w:rPr>
        <w:t>五、主要参考书目</w:t>
      </w:r>
    </w:p>
    <w:p>
      <w:pPr>
        <w:spacing w:line="360" w:lineRule="auto"/>
        <w:ind w:firstLine="480" w:firstLineChars="200"/>
        <w:rPr>
          <w:b/>
          <w:bCs/>
          <w:sz w:val="24"/>
        </w:rPr>
      </w:pPr>
      <w:r>
        <w:rPr>
          <w:sz w:val="24"/>
        </w:rPr>
        <w:t>谭光荣 曹越 税收学(第3版，书号：9787302577348)，清华大学出版社，2021年6月第一次印刷</w:t>
      </w:r>
      <w:r>
        <w:rPr>
          <w:b/>
          <w:bCs/>
          <w:sz w:val="24"/>
        </w:rPr>
        <w:t>。</w:t>
      </w:r>
    </w:p>
    <w:p>
      <w:pPr>
        <w:spacing w:line="360" w:lineRule="auto"/>
        <w:ind w:firstLine="482" w:firstLineChars="200"/>
        <w:rPr>
          <w:b/>
          <w:bCs/>
          <w:sz w:val="24"/>
        </w:rPr>
      </w:pPr>
    </w:p>
    <w:p>
      <w:pPr>
        <w:spacing w:line="360" w:lineRule="auto"/>
        <w:ind w:firstLine="482" w:firstLineChars="200"/>
        <w:rPr>
          <w:b/>
          <w:bCs/>
          <w:sz w:val="24"/>
        </w:rPr>
      </w:pPr>
    </w:p>
    <w:p>
      <w:pPr>
        <w:spacing w:line="360" w:lineRule="auto"/>
        <w:ind w:firstLine="482" w:firstLineChars="200"/>
        <w:rPr>
          <w:b/>
          <w:bCs/>
          <w:sz w:val="24"/>
        </w:rPr>
      </w:pPr>
    </w:p>
    <w:p>
      <w:pPr>
        <w:spacing w:line="360" w:lineRule="auto"/>
        <w:ind w:firstLine="482" w:firstLineChars="200"/>
        <w:rPr>
          <w:b/>
          <w:bCs/>
          <w:sz w:val="24"/>
        </w:rPr>
      </w:pPr>
    </w:p>
    <w:p>
      <w:pPr>
        <w:spacing w:line="360" w:lineRule="auto"/>
        <w:ind w:firstLine="482" w:firstLineChars="200"/>
        <w:rPr>
          <w:b/>
          <w:bCs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                                          经济与贸易学院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                                          2022年8月31日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D0029"/>
    <w:multiLevelType w:val="multilevel"/>
    <w:tmpl w:val="466D0029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MzBhMzQyZTBiNTA2NDBhZDE3ZGZmNTgwMjZhNWMifQ=="/>
  </w:docVars>
  <w:rsids>
    <w:rsidRoot w:val="00172A27"/>
    <w:rsid w:val="00030086"/>
    <w:rsid w:val="00032E65"/>
    <w:rsid w:val="00066EB1"/>
    <w:rsid w:val="00087789"/>
    <w:rsid w:val="00094E9C"/>
    <w:rsid w:val="000B6F08"/>
    <w:rsid w:val="000C3B6D"/>
    <w:rsid w:val="000E54C9"/>
    <w:rsid w:val="00112ACF"/>
    <w:rsid w:val="00140966"/>
    <w:rsid w:val="00167FC6"/>
    <w:rsid w:val="0019739D"/>
    <w:rsid w:val="001A5F90"/>
    <w:rsid w:val="0020108E"/>
    <w:rsid w:val="0024233C"/>
    <w:rsid w:val="00247A47"/>
    <w:rsid w:val="002927CD"/>
    <w:rsid w:val="00294643"/>
    <w:rsid w:val="002B11E1"/>
    <w:rsid w:val="00320129"/>
    <w:rsid w:val="00355FBB"/>
    <w:rsid w:val="003D0D53"/>
    <w:rsid w:val="00440454"/>
    <w:rsid w:val="004D3FCC"/>
    <w:rsid w:val="005322D7"/>
    <w:rsid w:val="0055587E"/>
    <w:rsid w:val="00561675"/>
    <w:rsid w:val="00585948"/>
    <w:rsid w:val="005A1C6B"/>
    <w:rsid w:val="005B59B5"/>
    <w:rsid w:val="005C147D"/>
    <w:rsid w:val="00651A9D"/>
    <w:rsid w:val="006966BB"/>
    <w:rsid w:val="006E77F3"/>
    <w:rsid w:val="00703DD0"/>
    <w:rsid w:val="00707F20"/>
    <w:rsid w:val="00713847"/>
    <w:rsid w:val="007503F3"/>
    <w:rsid w:val="0076612E"/>
    <w:rsid w:val="00766199"/>
    <w:rsid w:val="00786A38"/>
    <w:rsid w:val="00811F5D"/>
    <w:rsid w:val="00812DB2"/>
    <w:rsid w:val="00816BD2"/>
    <w:rsid w:val="0083436B"/>
    <w:rsid w:val="00847674"/>
    <w:rsid w:val="008659B8"/>
    <w:rsid w:val="00873C36"/>
    <w:rsid w:val="008A33EA"/>
    <w:rsid w:val="008D2CB1"/>
    <w:rsid w:val="0095582E"/>
    <w:rsid w:val="00957BC7"/>
    <w:rsid w:val="009B07D5"/>
    <w:rsid w:val="00A17EBF"/>
    <w:rsid w:val="00A30BF4"/>
    <w:rsid w:val="00AB771F"/>
    <w:rsid w:val="00AE7BF7"/>
    <w:rsid w:val="00B600A8"/>
    <w:rsid w:val="00B836A3"/>
    <w:rsid w:val="00B9104A"/>
    <w:rsid w:val="00B95F69"/>
    <w:rsid w:val="00BA5578"/>
    <w:rsid w:val="00BC1F31"/>
    <w:rsid w:val="00BE63F6"/>
    <w:rsid w:val="00C06A59"/>
    <w:rsid w:val="00C20FA6"/>
    <w:rsid w:val="00C34598"/>
    <w:rsid w:val="00C4074A"/>
    <w:rsid w:val="00C5079D"/>
    <w:rsid w:val="00CD391C"/>
    <w:rsid w:val="00CF3CDF"/>
    <w:rsid w:val="00D670D3"/>
    <w:rsid w:val="00D76817"/>
    <w:rsid w:val="00D83A0F"/>
    <w:rsid w:val="00D96D6F"/>
    <w:rsid w:val="00E1003B"/>
    <w:rsid w:val="00E45676"/>
    <w:rsid w:val="00EA0189"/>
    <w:rsid w:val="00EA08B3"/>
    <w:rsid w:val="00EA613C"/>
    <w:rsid w:val="00F13B6E"/>
    <w:rsid w:val="00F218AD"/>
    <w:rsid w:val="00F3710A"/>
    <w:rsid w:val="00F42EE0"/>
    <w:rsid w:val="00F95531"/>
    <w:rsid w:val="00FD500F"/>
    <w:rsid w:val="00FD6874"/>
    <w:rsid w:val="00FF0EB0"/>
    <w:rsid w:val="00FF1A7A"/>
    <w:rsid w:val="152855F6"/>
    <w:rsid w:val="274952D2"/>
    <w:rsid w:val="27B21FBD"/>
    <w:rsid w:val="316B0E2F"/>
    <w:rsid w:val="6D807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9"/>
    <w:unhideWhenUsed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link w:val="2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9">
    <w:name w:val="文档结构图 Char"/>
    <w:link w:val="3"/>
    <w:semiHidden/>
    <w:uiPriority w:val="99"/>
    <w:rPr>
      <w:rFonts w:ascii="宋体"/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paragraph" w:customStyle="1" w:styleId="12">
    <w:name w:val="二级章节"/>
    <w:basedOn w:val="1"/>
    <w:qFormat/>
    <w:uiPriority w:val="0"/>
    <w:pPr>
      <w:widowControl/>
      <w:spacing w:line="293" w:lineRule="exact"/>
      <w:jc w:val="left"/>
      <w:outlineLvl w:val="2"/>
    </w:pPr>
    <w:rPr>
      <w:rFonts w:ascii="NEU-BZ-S92" w:hAnsi="NEU-BZ-S92" w:eastAsia="方正书宋_GBK" w:cs="Times New Roman"/>
      <w:color w:val="000000"/>
      <w:w w:val="117"/>
      <w:kern w:val="0"/>
      <w:sz w:val="18"/>
      <w:szCs w:val="22"/>
    </w:rPr>
  </w:style>
  <w:style w:type="paragraph" w:customStyle="1" w:styleId="13">
    <w:name w:val="五级章节"/>
    <w:basedOn w:val="1"/>
    <w:qFormat/>
    <w:uiPriority w:val="0"/>
    <w:pPr>
      <w:widowControl/>
      <w:spacing w:line="293" w:lineRule="exact"/>
      <w:jc w:val="left"/>
      <w:outlineLvl w:val="5"/>
    </w:pPr>
    <w:rPr>
      <w:rFonts w:ascii="NEU-BZ-S92" w:hAnsi="NEU-BZ-S92" w:eastAsia="方正书宋_GBK" w:cs="Times New Roman"/>
      <w:color w:val="000000"/>
      <w:w w:val="117"/>
      <w:kern w:val="0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585</Words>
  <Characters>3339</Characters>
  <Lines>27</Lines>
  <Paragraphs>7</Paragraphs>
  <TotalTime>0</TotalTime>
  <ScaleCrop>false</ScaleCrop>
  <LinksUpToDate>false</LinksUpToDate>
  <CharactersWithSpaces>3917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2021-08-31T01:36:00Z</dcterms:created>
  <dc:creator>tgr</dc:creator>
  <cp:lastModifiedBy>vertesyuan</cp:lastModifiedBy>
  <dcterms:modified xsi:type="dcterms:W3CDTF">2022-10-09T07:55:01Z</dcterms:modified>
  <dc:title>2014年湖南大学《税务专业基础》考试大纲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E13C57A033DB4275AB4FD43D131A4515</vt:lpwstr>
  </property>
</Properties>
</file>