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hint="default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湖南农业大学2023年硕士研究生招生考试</w:t>
      </w:r>
    </w:p>
    <w:p>
      <w:pPr>
        <w:spacing w:line="324" w:lineRule="auto"/>
        <w:jc w:val="center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  <w:lang w:eastAsia="zh-CN"/>
        </w:rPr>
        <w:t>《</w:t>
      </w:r>
      <w:r>
        <w:rPr>
          <w:rFonts w:hint="eastAsia" w:ascii="黑体" w:hAnsi="黑体" w:eastAsia="黑体"/>
          <w:color w:val="000000"/>
          <w:sz w:val="30"/>
          <w:szCs w:val="30"/>
        </w:rPr>
        <w:t>毛泽东思想和中国特色社会主义理论体系概论</w:t>
      </w:r>
      <w:r>
        <w:rPr>
          <w:rFonts w:hint="eastAsia" w:ascii="黑体" w:hAnsi="黑体" w:eastAsia="黑体"/>
          <w:color w:val="000000"/>
          <w:sz w:val="30"/>
          <w:szCs w:val="30"/>
          <w:lang w:eastAsia="zh-CN"/>
        </w:rPr>
        <w:t>》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0"/>
          <w:szCs w:val="30"/>
        </w:rPr>
        <w:t>考试大纲</w:t>
      </w:r>
    </w:p>
    <w:p>
      <w:pPr>
        <w:spacing w:line="324" w:lineRule="auto"/>
        <w:jc w:val="center"/>
        <w:rPr>
          <w:rFonts w:ascii="仿宋_GB2312" w:eastAsia="仿宋_GB2312"/>
          <w:b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（一）毛泽东思想及其历史地位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1.毛泽东思想的形成和发展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毛泽东思想形成发展的历史条件。毛泽东思想形成发展的过程。</w:t>
      </w:r>
    </w:p>
    <w:p>
      <w:pPr>
        <w:numPr>
          <w:ilvl w:val="0"/>
          <w:numId w:val="1"/>
        </w:num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毛泽东思想的主要内容和活的灵魂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毛泽东思想的主要内容。毛泽东思想活的灵魂。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3.毛泽东思想的历史地位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马克思主义中国化的第一个重大理论成果。中国革命和建设的科学指南。中国共产党和中国人民宝贵的精神财富。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（二）新民主主义革命理论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1.新民主主义革命理论形成的依据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近代中国国情和中国革命的时代特征。新民主主义革命理论的实践基础。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2.新民主主义革命的总路线和基本纲领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新民主主义革命的总路线。新民主主义的基本纲领。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3.新民主主义革命的道路和基本经验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新民主主义革命的道路。新民主主义革命的三大法宝。新民主主义革命理论的意义。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（三）社会主义改造理论</w:t>
      </w:r>
    </w:p>
    <w:p>
      <w:pPr>
        <w:spacing w:line="324" w:lineRule="auto"/>
        <w:ind w:firstLine="480" w:firstLineChars="20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1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．从新民主主义到社会主义的转变</w:t>
      </w:r>
    </w:p>
    <w:p>
      <w:pPr>
        <w:spacing w:line="324" w:lineRule="auto"/>
        <w:ind w:firstLine="480" w:firstLineChars="20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新民主主义社会的性质和特点。党在过渡时期的总路线及其理论依据。</w:t>
      </w:r>
    </w:p>
    <w:p>
      <w:pPr>
        <w:spacing w:line="324" w:lineRule="auto"/>
        <w:ind w:firstLine="480" w:firstLineChars="20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2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．社会主义改造道路和历史经验</w:t>
      </w:r>
    </w:p>
    <w:p>
      <w:pPr>
        <w:spacing w:line="324" w:lineRule="auto"/>
        <w:ind w:firstLine="480" w:firstLineChars="20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适合中国特点的社会主义改造道路。社会主义改造的历史经验。</w:t>
      </w:r>
    </w:p>
    <w:p>
      <w:pPr>
        <w:spacing w:line="324" w:lineRule="auto"/>
        <w:ind w:firstLine="480" w:firstLineChars="20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3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．社会主义制度在中国的确立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社会主义基本制度的确立及其理论依据。确立社会主义基本制度的重大意义。</w:t>
      </w:r>
    </w:p>
    <w:p>
      <w:pPr>
        <w:spacing w:line="324" w:lineRule="auto"/>
        <w:ind w:firstLine="480" w:firstLineChars="200"/>
        <w:rPr>
          <w:rFonts w:ascii="仿宋_GB2312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（四）社会主义建设道路初步探索的理论成果</w:t>
      </w:r>
    </w:p>
    <w:p>
      <w:pPr>
        <w:spacing w:line="324" w:lineRule="auto"/>
        <w:ind w:firstLine="480" w:firstLineChars="20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1.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社会主义建设道路初步探索的重要思想成果</w:t>
      </w:r>
    </w:p>
    <w:p>
      <w:pPr>
        <w:spacing w:line="324" w:lineRule="auto"/>
        <w:ind w:firstLine="480" w:firstLineChars="20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调动一切积极因素为社会主义事业服务的思想。正确认识和处理社会主义社会矛盾的思想。走中国工业化道路的思想。</w:t>
      </w:r>
    </w:p>
    <w:p>
      <w:pPr>
        <w:spacing w:line="324" w:lineRule="auto"/>
        <w:ind w:firstLine="480" w:firstLineChars="20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2.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社会主义建设道路初步探索的意义和经验教训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初步探索的意义。初步探索的经验教训。</w:t>
      </w:r>
    </w:p>
    <w:p>
      <w:pPr>
        <w:spacing w:line="324" w:lineRule="auto"/>
        <w:ind w:firstLine="480" w:firstLineChars="200"/>
        <w:rPr>
          <w:rFonts w:ascii="仿宋_GB2312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（五）邓小平理论</w:t>
      </w:r>
    </w:p>
    <w:p>
      <w:pPr>
        <w:numPr>
          <w:ilvl w:val="0"/>
          <w:numId w:val="2"/>
        </w:num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邓小平理论的形成</w:t>
      </w:r>
    </w:p>
    <w:p>
      <w:pPr>
        <w:spacing w:line="324" w:lineRule="auto"/>
        <w:ind w:left="481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邓小平理论的形成条件。邓小平理论的形成过程。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2.邓小平理论的基本问题和主要内容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邓小平理论回答的基本问题。邓小平理论的主要内容。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3.邓小平理论的历史地位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马克思列宁主义、毛泽东思想的继承和发展。中国特色社会主义理论体系的开篇之作。改革开放和社会主义现代化建设的科学指南。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（六）“三个代表”重要思想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1.“三个代表”重要思想的形成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“三个代表”重要思想的形成条件。“三个代表”重要思想的形成过程。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2.“三个代表”重要思想的核心观点和主要内容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“三个代表”重要思想的核心观点。“三个代表”重要思想的主要内容。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3.“三个代表”重要思想的历史地位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中国特色甘会主义理论体系的丰富发展。加强和改进党的建设、推进中国特色社会主义事业的强大理论武器。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（七）科学发展观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1.科学发展观的形成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科学发展观的形成条件。科学发展观的形成过程。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2.科学发展观的科学内涵和主要内容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科学发展观的科学内涵。科学发展观的主要内容。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3.科学发展观的历史地位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中国特色社会主义理论体系的接续发展。全面建设小康社会、加快推进社会主义现代化的根本指针。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（八）习近平新时代中国特色社会主义思想及其历史地位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1.习近平新时代中国特色社会主义思想创立的社会历史条件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中国特色社会主义进入新时代。世界正经历百年未有之大变局。中华民族伟大复兴正处于关键时期。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2.习近平新时代中国特色社会主义思想的科学体系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习近平新时代中国特色社会主义思想的核心要义。习近平新时代中国特色社会主义思想的主要内容。习近平新时代申国特色社会主义思想的理论特质。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3.习近平新时代中国特色社会主义思想的历史地位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当代中国马克思主义、21世纪马克思主义。实现中华民族伟大复兴的行动指南。建设美好世界的中国智慧和中国方案。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（九）坚持和发展中国特色社会主义的总任务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1.实现中华民族伟大复兴的中国梦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中华民族近代以来最伟大的梦想。中国梦的科学内涵。奋力实现中国梦。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2.建成社会主义现代化强国的战略安排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开启全面建设社会主义现代化强国的新征程。实现社会主义现代化强国“两步走”战略的目标要求。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3.建设社会主义现代化国家的战略导向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立足新发展阶段。贯彻新发展理念。构建新发展格局。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（十）“五位一体”总体布局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1.实现经济高质量发展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坚持习近平经济思想。深化供给侧结构性改革。建设现代化经济体系。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2.发展社会主义民主政治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坚持走中国特色社会主义政治发展道路。健全人民当家作主制度体系。巩固和发展爱国统一战线。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3.建设社会主义文化强国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坚持马克思主义在意识形态领域指导地位的根本制度。培育和践行社会主义核心价值观。坚定文化自信，繁荣发展社会主义文化。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4.加强以民生为重点的社会建设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在发展中保障和改善民生。加强和创新社会治理。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5.建设美丽中国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坚持习近平生态文明思想。推动绿色发展，促进人与自然和谐共生。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（十一）“四个全面”战略布局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1.全面建设社会主义现代化国家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从全面建成小原社会到全面建设社会主义现代化国家。中国社会主义现代化国家的基本特征。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2.全面深化改革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坚定不移推进全面深化改革。坚持全面深化改革的方向、立场和原则。坚持和完善中国特色社会主义制度，推进国家治理现代化。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3.全面依法治国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坚持习近平法治思想。走中国特色社会主义法治道路。深化依法治国实践。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4.全面从严治党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全面从严治党是伟大的自我革命。新时代党的建设总要求。把全面从严治党引向深入。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（十二）实现中华民族伟大复兴的重要保障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 1.坚持总体国家安全观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 国家安全是安邦定国的重要基石。坚持走中国特色国家安全道路。着力防范化解重大风险。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 2.加快国防和军队现代化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 坚持习近平强军思想。实现党在新时代的强军目标。构建一体化的国家故略体系和能力。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3.坚持“一国两制”推进祖国统一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全面准确贯彻“一国两制”方针。确保“一国两制”实践行稳致远。实现祖国完全统一。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</w:p>
    <w:p>
      <w:pPr>
        <w:spacing w:line="324" w:lineRule="auto"/>
        <w:ind w:firstLine="48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（十三）中国特色大国外交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1.坚持习近平外交思想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习近平外交思想的核心要义。新时代对外工作的根本遵循。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2.坚持走和平发展道路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坚持独立自主和平外交政策。推动建设新型国际关系。</w:t>
      </w:r>
    </w:p>
    <w:p>
      <w:pPr>
        <w:spacing w:line="324" w:lineRule="auto"/>
        <w:ind w:firstLine="48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3.推动构建人类命运共同体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 人类命运共同体的内涵。促进“一带一路”国际合作。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</w:p>
    <w:p>
      <w:pPr>
        <w:spacing w:line="324" w:lineRule="auto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 xml:space="preserve">    （十四）坚持和加强党的领导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1.实现中华民族伟大复兴关键在党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中国共产党的领导地位是历史和人民的选择。中国特色社会主义最本质的特征。新时代中国共产党的历史使命。</w:t>
      </w:r>
    </w:p>
    <w:p>
      <w:pPr>
        <w:spacing w:line="324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2.坚持党对一切工作的领导</w:t>
      </w:r>
    </w:p>
    <w:p>
      <w:pPr>
        <w:spacing w:line="324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 xml:space="preserve">   党是最高政治领导力量。党的领导制度是我国的根本领导制度。确保党始终总揽全局协调各方。</w:t>
      </w:r>
    </w:p>
    <w:p>
      <w:pPr>
        <w:spacing w:line="324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</w:p>
    <w:p>
      <w:pPr>
        <w:spacing w:before="120" w:beforeLines="50"/>
        <w:ind w:left="420" w:leftChars="200" w:firstLine="560" w:firstLineChars="200"/>
        <w:rPr>
          <w:rFonts w:ascii="宋体" w:hAnsi="宋体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3FB12"/>
    <w:multiLevelType w:val="singleLevel"/>
    <w:tmpl w:val="84F3FB1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DA5D18E"/>
    <w:multiLevelType w:val="singleLevel"/>
    <w:tmpl w:val="DDA5D18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93"/>
  <w:drawingGridVerticalSpacing w:val="323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52E6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16A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1AC8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B647D"/>
    <w:rsid w:val="001D3B16"/>
    <w:rsid w:val="001D5B9D"/>
    <w:rsid w:val="001D67B3"/>
    <w:rsid w:val="001F4FDC"/>
    <w:rsid w:val="001F5AB5"/>
    <w:rsid w:val="001F5C2A"/>
    <w:rsid w:val="001F7628"/>
    <w:rsid w:val="00202D07"/>
    <w:rsid w:val="0020584A"/>
    <w:rsid w:val="002062AE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2E8F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2B66"/>
    <w:rsid w:val="00407CAF"/>
    <w:rsid w:val="00424AC6"/>
    <w:rsid w:val="00427EE3"/>
    <w:rsid w:val="00431EC6"/>
    <w:rsid w:val="00432D31"/>
    <w:rsid w:val="00433D28"/>
    <w:rsid w:val="00434D46"/>
    <w:rsid w:val="00435381"/>
    <w:rsid w:val="00444531"/>
    <w:rsid w:val="00447252"/>
    <w:rsid w:val="00452A63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07CE1"/>
    <w:rsid w:val="0051149E"/>
    <w:rsid w:val="005118F3"/>
    <w:rsid w:val="00514378"/>
    <w:rsid w:val="00516461"/>
    <w:rsid w:val="00522010"/>
    <w:rsid w:val="0052319F"/>
    <w:rsid w:val="00531821"/>
    <w:rsid w:val="00531E64"/>
    <w:rsid w:val="005347BE"/>
    <w:rsid w:val="005429D4"/>
    <w:rsid w:val="0054366F"/>
    <w:rsid w:val="005506FB"/>
    <w:rsid w:val="00555BC6"/>
    <w:rsid w:val="00586998"/>
    <w:rsid w:val="00586EC4"/>
    <w:rsid w:val="005875D2"/>
    <w:rsid w:val="00587B52"/>
    <w:rsid w:val="00591027"/>
    <w:rsid w:val="005966FE"/>
    <w:rsid w:val="00596B0D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35BB6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A0D29"/>
    <w:rsid w:val="006B6B31"/>
    <w:rsid w:val="006C150E"/>
    <w:rsid w:val="006D16C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377B0"/>
    <w:rsid w:val="00744B27"/>
    <w:rsid w:val="007456F0"/>
    <w:rsid w:val="007458C2"/>
    <w:rsid w:val="007458F8"/>
    <w:rsid w:val="00753B2D"/>
    <w:rsid w:val="007558AF"/>
    <w:rsid w:val="00757C6E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0B60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52E71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5D4D"/>
    <w:rsid w:val="008C7F38"/>
    <w:rsid w:val="008C7FFC"/>
    <w:rsid w:val="008D3202"/>
    <w:rsid w:val="008D47A1"/>
    <w:rsid w:val="008D584E"/>
    <w:rsid w:val="008D5DAD"/>
    <w:rsid w:val="008E21A3"/>
    <w:rsid w:val="008E4047"/>
    <w:rsid w:val="008E5985"/>
    <w:rsid w:val="008F7632"/>
    <w:rsid w:val="00901C1F"/>
    <w:rsid w:val="0091407C"/>
    <w:rsid w:val="0091578D"/>
    <w:rsid w:val="00917E5E"/>
    <w:rsid w:val="00925A85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604"/>
    <w:rsid w:val="009A0A83"/>
    <w:rsid w:val="009A26C0"/>
    <w:rsid w:val="009B5FAA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50D2F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63428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56735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1F60"/>
    <w:rsid w:val="00CB2F8F"/>
    <w:rsid w:val="00CB69F5"/>
    <w:rsid w:val="00CC3CD9"/>
    <w:rsid w:val="00CC52C9"/>
    <w:rsid w:val="00CC788A"/>
    <w:rsid w:val="00CD0ACD"/>
    <w:rsid w:val="00CD488E"/>
    <w:rsid w:val="00CE091B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B63"/>
    <w:rsid w:val="00D54F9E"/>
    <w:rsid w:val="00D604DE"/>
    <w:rsid w:val="00D640AD"/>
    <w:rsid w:val="00D7373B"/>
    <w:rsid w:val="00D74290"/>
    <w:rsid w:val="00D74E0A"/>
    <w:rsid w:val="00D8154A"/>
    <w:rsid w:val="00DA0716"/>
    <w:rsid w:val="00DB2B3E"/>
    <w:rsid w:val="00DB3E7A"/>
    <w:rsid w:val="00DB5A20"/>
    <w:rsid w:val="00DC05A9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4604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13688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06911F04"/>
    <w:rsid w:val="13CD539F"/>
    <w:rsid w:val="1D4B0A0A"/>
    <w:rsid w:val="2D661579"/>
    <w:rsid w:val="38FA1910"/>
    <w:rsid w:val="49882315"/>
    <w:rsid w:val="4FD6098B"/>
    <w:rsid w:val="53D05294"/>
    <w:rsid w:val="61AD10B4"/>
    <w:rsid w:val="62155CBC"/>
    <w:rsid w:val="62451E27"/>
    <w:rsid w:val="6B7970ED"/>
    <w:rsid w:val="711E59F1"/>
    <w:rsid w:val="73F42021"/>
    <w:rsid w:val="757D08B2"/>
    <w:rsid w:val="778D0865"/>
    <w:rsid w:val="7A6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正文文本缩进 字符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5</Pages>
  <Words>2378</Words>
  <Characters>2419</Characters>
  <Lines>18</Lines>
  <Paragraphs>5</Paragraphs>
  <TotalTime>34</TotalTime>
  <ScaleCrop>false</ScaleCrop>
  <LinksUpToDate>false</LinksUpToDate>
  <CharactersWithSpaces>2519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2019-06-11T00:39:00Z</dcterms:created>
  <dc:creator>李丽兰</dc:creator>
  <cp:lastModifiedBy>子嫣麻麻</cp:lastModifiedBy>
  <cp:lastPrinted>2018-07-16T02:14:00Z</cp:lastPrinted>
  <dcterms:modified xsi:type="dcterms:W3CDTF">2022-09-19T09:17:16Z</dcterms:modified>
  <dc:title>关于编制2002年硕士研究生招生专业目录的通知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ACB7415BE4804EBB897289CBC6E638D5</vt:lpwstr>
  </property>
</Properties>
</file>