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bookmarkStart w:id="1" w:name="_GoBack"/>
      <w:bookmarkEnd w:id="1"/>
      <w:r>
        <w:rPr>
          <w:rFonts w:hint="eastAsia" w:ascii="黑体" w:hAnsi="黑体" w:eastAsia="黑体" w:cs="黑体"/>
          <w:b w:val="0"/>
          <w:bCs w:val="0"/>
          <w:sz w:val="36"/>
          <w:szCs w:val="36"/>
          <w:lang w:val="en-US" w:eastAsia="zh-CN"/>
        </w:rPr>
        <w:t>湖南农业大学</w:t>
      </w:r>
      <w:r>
        <w:rPr>
          <w:rFonts w:hint="eastAsia" w:ascii="黑体" w:hAnsi="黑体" w:eastAsia="黑体" w:cs="黑体"/>
          <w:b w:val="0"/>
          <w:bCs w:val="0"/>
          <w:sz w:val="36"/>
          <w:szCs w:val="36"/>
        </w:rPr>
        <w:t>202</w:t>
      </w:r>
      <w:r>
        <w:rPr>
          <w:rFonts w:hint="eastAsia" w:ascii="黑体" w:hAnsi="黑体" w:eastAsia="黑体" w:cs="黑体"/>
          <w:b w:val="0"/>
          <w:bCs w:val="0"/>
          <w:sz w:val="36"/>
          <w:szCs w:val="36"/>
          <w:lang w:val="en-US" w:eastAsia="zh-CN"/>
        </w:rPr>
        <w:t>3</w:t>
      </w:r>
      <w:r>
        <w:rPr>
          <w:rFonts w:hint="eastAsia" w:ascii="黑体" w:hAnsi="黑体" w:eastAsia="黑体" w:cs="黑体"/>
          <w:b w:val="0"/>
          <w:bCs w:val="0"/>
          <w:sz w:val="36"/>
          <w:szCs w:val="36"/>
        </w:rPr>
        <w:t>年硕士研究生招生考试</w:t>
      </w:r>
    </w:p>
    <w:p>
      <w:pPr>
        <w:spacing w:before="240" w:beforeLines="100" w:after="240" w:afterLines="100" w:line="360" w:lineRule="auto"/>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植物保护概论</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rPr>
        <w:t>考试大纲</w:t>
      </w:r>
    </w:p>
    <w:p>
      <w:pPr>
        <w:spacing w:line="324" w:lineRule="auto"/>
        <w:ind w:firstLine="482" w:firstLineChars="200"/>
        <w:rPr>
          <w:rFonts w:eastAsia="仿宋_GB2312"/>
          <w:b/>
          <w:color w:val="000000"/>
          <w:sz w:val="24"/>
          <w:szCs w:val="24"/>
        </w:rPr>
      </w:pPr>
      <w:r>
        <w:rPr>
          <w:rFonts w:eastAsia="仿宋_GB2312"/>
          <w:b/>
          <w:color w:val="000000"/>
          <w:sz w:val="24"/>
          <w:szCs w:val="24"/>
        </w:rPr>
        <w:t>Ⅰ．考试性质</w:t>
      </w:r>
    </w:p>
    <w:p>
      <w:pPr>
        <w:spacing w:line="324" w:lineRule="auto"/>
        <w:ind w:firstLine="480" w:firstLineChars="200"/>
        <w:rPr>
          <w:rFonts w:eastAsia="仿宋_GB2312"/>
          <w:color w:val="000000"/>
          <w:sz w:val="24"/>
          <w:szCs w:val="24"/>
        </w:rPr>
      </w:pPr>
      <w:r>
        <w:rPr>
          <w:rFonts w:eastAsia="仿宋_GB2312"/>
          <w:color w:val="000000"/>
          <w:sz w:val="24"/>
          <w:szCs w:val="24"/>
        </w:rPr>
        <w:t>《植物保护学概论》是湖南农业大学植物保护相关专业的硕士研究生入学考试中一门专业基础科目。其目的是测试考生的植物保护专业基本素质，包括对植物保护领域各项内容的掌握程度和应用相关知识解决生产实际问题的能力。</w:t>
      </w:r>
    </w:p>
    <w:p>
      <w:pPr>
        <w:spacing w:line="324" w:lineRule="auto"/>
        <w:ind w:firstLine="482" w:firstLineChars="200"/>
        <w:rPr>
          <w:rFonts w:eastAsia="仿宋_GB2312"/>
          <w:b/>
          <w:color w:val="000000"/>
          <w:sz w:val="24"/>
          <w:szCs w:val="24"/>
        </w:rPr>
      </w:pPr>
    </w:p>
    <w:p>
      <w:pPr>
        <w:spacing w:line="324" w:lineRule="auto"/>
        <w:ind w:firstLine="482" w:firstLineChars="200"/>
        <w:rPr>
          <w:rFonts w:eastAsia="仿宋_GB2312"/>
          <w:b/>
          <w:color w:val="000000"/>
          <w:sz w:val="24"/>
          <w:szCs w:val="24"/>
        </w:rPr>
      </w:pPr>
      <w:r>
        <w:rPr>
          <w:rFonts w:eastAsia="仿宋_GB2312"/>
          <w:b/>
          <w:color w:val="000000"/>
          <w:sz w:val="24"/>
          <w:szCs w:val="24"/>
        </w:rPr>
        <w:t>Ⅱ．考查目标</w:t>
      </w:r>
    </w:p>
    <w:p>
      <w:pPr>
        <w:spacing w:line="324" w:lineRule="auto"/>
        <w:ind w:firstLine="480" w:firstLineChars="200"/>
        <w:rPr>
          <w:rFonts w:eastAsia="仿宋_GB2312"/>
          <w:color w:val="000000"/>
          <w:sz w:val="24"/>
          <w:szCs w:val="24"/>
        </w:rPr>
      </w:pPr>
      <w:r>
        <w:rPr>
          <w:rFonts w:eastAsia="仿宋_GB2312"/>
          <w:color w:val="000000"/>
          <w:sz w:val="24"/>
          <w:szCs w:val="24"/>
        </w:rPr>
        <w:t>《植物保护学概论》的考核是为了选拔人才，评估考生是否掌握了植物保护领域的基本原理和实践技能。主要考试范围为该教材的第一章至第九章，内容包括植物病害、虫害、农田草害、农田鼠害、农业有害生物的发生规律与预测及防治技术与策略、主要作物病虫害综合治理、植物保护技术推广等。要求考生全面系统地掌握植物保护的基本知识、基本理论和基本方法，能熟练运用相关理论和方法分析、认识和解决植物保护生产实际问题，了解植物保护学的主要发展趋势和前沿领域。</w:t>
      </w:r>
    </w:p>
    <w:p>
      <w:pPr>
        <w:spacing w:line="324" w:lineRule="auto"/>
        <w:ind w:firstLine="480" w:firstLineChars="200"/>
        <w:rPr>
          <w:rFonts w:eastAsia="仿宋_GB2312"/>
          <w:color w:val="000000"/>
          <w:sz w:val="24"/>
          <w:szCs w:val="24"/>
        </w:rPr>
      </w:pPr>
    </w:p>
    <w:p>
      <w:pPr>
        <w:spacing w:line="324" w:lineRule="auto"/>
        <w:ind w:firstLine="480" w:firstLineChars="200"/>
        <w:rPr>
          <w:rFonts w:eastAsia="仿宋_GB2312"/>
          <w:color w:val="000000"/>
          <w:sz w:val="24"/>
          <w:szCs w:val="24"/>
        </w:rPr>
      </w:pPr>
      <w:r>
        <w:rPr>
          <w:rFonts w:eastAsia="仿宋_GB2312"/>
          <w:color w:val="000000"/>
          <w:sz w:val="24"/>
          <w:szCs w:val="24"/>
        </w:rPr>
        <w:t>Ⅲ．考试形式和试卷结构</w:t>
      </w:r>
    </w:p>
    <w:p>
      <w:pPr>
        <w:spacing w:line="324" w:lineRule="auto"/>
        <w:ind w:firstLine="482" w:firstLineChars="200"/>
        <w:rPr>
          <w:rFonts w:eastAsia="仿宋_GB2312"/>
          <w:b/>
          <w:color w:val="000000"/>
          <w:sz w:val="24"/>
          <w:szCs w:val="24"/>
        </w:rPr>
      </w:pPr>
      <w:r>
        <w:rPr>
          <w:rFonts w:eastAsia="仿宋_GB2312"/>
          <w:b/>
          <w:color w:val="000000"/>
          <w:sz w:val="24"/>
          <w:szCs w:val="24"/>
        </w:rPr>
        <w:t>一、试卷满分及考试时间</w:t>
      </w:r>
    </w:p>
    <w:p>
      <w:pPr>
        <w:spacing w:line="324" w:lineRule="auto"/>
        <w:ind w:firstLine="480" w:firstLineChars="200"/>
        <w:rPr>
          <w:rFonts w:eastAsia="仿宋_GB2312"/>
          <w:color w:val="000000"/>
          <w:sz w:val="24"/>
          <w:szCs w:val="24"/>
        </w:rPr>
      </w:pPr>
      <w:r>
        <w:rPr>
          <w:rFonts w:eastAsia="仿宋_GB2312"/>
          <w:color w:val="000000"/>
          <w:sz w:val="24"/>
          <w:szCs w:val="24"/>
        </w:rPr>
        <w:t>本试卷满分为150分，考试时间为180分钟。</w:t>
      </w:r>
    </w:p>
    <w:p>
      <w:pPr>
        <w:spacing w:line="324" w:lineRule="auto"/>
        <w:ind w:firstLine="482" w:firstLineChars="200"/>
        <w:rPr>
          <w:rFonts w:eastAsia="仿宋_GB2312"/>
          <w:b/>
          <w:color w:val="000000"/>
          <w:sz w:val="24"/>
          <w:szCs w:val="24"/>
        </w:rPr>
      </w:pPr>
      <w:r>
        <w:rPr>
          <w:rFonts w:eastAsia="仿宋_GB2312"/>
          <w:b/>
          <w:color w:val="000000"/>
          <w:sz w:val="24"/>
          <w:szCs w:val="24"/>
        </w:rPr>
        <w:t>二、答题方式</w:t>
      </w:r>
    </w:p>
    <w:p>
      <w:pPr>
        <w:spacing w:line="324" w:lineRule="auto"/>
        <w:ind w:firstLine="480" w:firstLineChars="200"/>
        <w:rPr>
          <w:rFonts w:eastAsia="仿宋_GB2312"/>
          <w:color w:val="000000"/>
          <w:sz w:val="24"/>
          <w:szCs w:val="24"/>
        </w:rPr>
      </w:pPr>
      <w:r>
        <w:rPr>
          <w:rFonts w:eastAsia="仿宋_GB2312"/>
          <w:color w:val="000000"/>
          <w:sz w:val="24"/>
          <w:szCs w:val="24"/>
        </w:rPr>
        <w:t>答题方式为闭卷、笔试。</w:t>
      </w:r>
    </w:p>
    <w:p>
      <w:pPr>
        <w:spacing w:line="324" w:lineRule="auto"/>
        <w:ind w:firstLine="482" w:firstLineChars="200"/>
        <w:rPr>
          <w:rFonts w:eastAsia="仿宋_GB2312"/>
          <w:b/>
          <w:color w:val="000000"/>
          <w:sz w:val="24"/>
          <w:szCs w:val="24"/>
        </w:rPr>
      </w:pPr>
      <w:r>
        <w:rPr>
          <w:rFonts w:eastAsia="仿宋_GB2312"/>
          <w:b/>
          <w:color w:val="000000"/>
          <w:sz w:val="24"/>
          <w:szCs w:val="24"/>
        </w:rPr>
        <w:t>三、试卷内容结构</w:t>
      </w:r>
    </w:p>
    <w:p>
      <w:pPr>
        <w:spacing w:line="324" w:lineRule="auto"/>
        <w:ind w:firstLine="480" w:firstLineChars="200"/>
        <w:rPr>
          <w:rFonts w:eastAsia="仿宋_GB2312"/>
          <w:color w:val="000000"/>
          <w:sz w:val="24"/>
          <w:szCs w:val="24"/>
        </w:rPr>
      </w:pPr>
      <w:r>
        <w:rPr>
          <w:rFonts w:eastAsia="仿宋_GB2312"/>
          <w:color w:val="000000"/>
          <w:sz w:val="24"/>
          <w:szCs w:val="24"/>
        </w:rPr>
        <w:t>植物保护的基本概念和基础知识 约40%</w:t>
      </w:r>
    </w:p>
    <w:p>
      <w:pPr>
        <w:spacing w:line="324" w:lineRule="auto"/>
        <w:ind w:firstLine="480" w:firstLineChars="200"/>
        <w:rPr>
          <w:rFonts w:eastAsia="仿宋_GB2312"/>
          <w:color w:val="000000"/>
          <w:sz w:val="24"/>
          <w:szCs w:val="24"/>
        </w:rPr>
      </w:pPr>
      <w:r>
        <w:rPr>
          <w:rFonts w:eastAsia="仿宋_GB2312"/>
          <w:color w:val="000000"/>
          <w:sz w:val="24"/>
          <w:szCs w:val="24"/>
        </w:rPr>
        <w:t>农业有害生物的发生规律及预测 约20%</w:t>
      </w:r>
    </w:p>
    <w:p>
      <w:pPr>
        <w:spacing w:line="324" w:lineRule="auto"/>
        <w:ind w:firstLine="480" w:firstLineChars="200"/>
        <w:rPr>
          <w:rFonts w:eastAsia="仿宋_GB2312"/>
          <w:color w:val="000000"/>
          <w:sz w:val="24"/>
          <w:szCs w:val="24"/>
        </w:rPr>
      </w:pPr>
      <w:r>
        <w:rPr>
          <w:rFonts w:eastAsia="仿宋_GB2312"/>
          <w:color w:val="000000"/>
          <w:sz w:val="24"/>
          <w:szCs w:val="24"/>
        </w:rPr>
        <w:t>主要作物病虫害综合防控技术 约40%</w:t>
      </w:r>
    </w:p>
    <w:p>
      <w:pPr>
        <w:spacing w:line="324" w:lineRule="auto"/>
        <w:ind w:firstLine="482" w:firstLineChars="200"/>
        <w:rPr>
          <w:rFonts w:eastAsia="仿宋_GB2312"/>
          <w:b/>
          <w:color w:val="000000"/>
          <w:sz w:val="24"/>
          <w:szCs w:val="24"/>
        </w:rPr>
      </w:pPr>
      <w:r>
        <w:rPr>
          <w:rFonts w:eastAsia="仿宋_GB2312"/>
          <w:b/>
          <w:color w:val="000000"/>
          <w:sz w:val="24"/>
          <w:szCs w:val="24"/>
        </w:rPr>
        <w:t>四、试卷题型结构</w:t>
      </w:r>
    </w:p>
    <w:p>
      <w:pPr>
        <w:spacing w:line="324" w:lineRule="auto"/>
        <w:ind w:firstLine="480" w:firstLineChars="200"/>
        <w:rPr>
          <w:rFonts w:eastAsia="仿宋_GB2312"/>
          <w:color w:val="000000"/>
          <w:sz w:val="24"/>
          <w:szCs w:val="24"/>
        </w:rPr>
      </w:pPr>
      <w:r>
        <w:rPr>
          <w:rFonts w:eastAsia="仿宋_GB2312"/>
          <w:color w:val="000000"/>
          <w:sz w:val="24"/>
          <w:szCs w:val="24"/>
        </w:rPr>
        <w:t>名词解释 20分（10小题，每小题2分）</w:t>
      </w:r>
    </w:p>
    <w:p>
      <w:pPr>
        <w:spacing w:line="324" w:lineRule="auto"/>
        <w:ind w:firstLine="480" w:firstLineChars="200"/>
        <w:rPr>
          <w:rFonts w:eastAsia="仿宋_GB2312"/>
          <w:color w:val="000000"/>
          <w:sz w:val="24"/>
          <w:szCs w:val="24"/>
        </w:rPr>
      </w:pPr>
      <w:r>
        <w:rPr>
          <w:rFonts w:eastAsia="仿宋_GB2312"/>
          <w:color w:val="000000"/>
          <w:sz w:val="24"/>
          <w:szCs w:val="24"/>
        </w:rPr>
        <w:t>填空题 20分（20空，每空2分）</w:t>
      </w:r>
    </w:p>
    <w:p>
      <w:pPr>
        <w:spacing w:line="324" w:lineRule="auto"/>
        <w:ind w:firstLine="480" w:firstLineChars="200"/>
        <w:rPr>
          <w:rFonts w:eastAsia="仿宋_GB2312"/>
          <w:color w:val="000000"/>
          <w:sz w:val="24"/>
          <w:szCs w:val="24"/>
        </w:rPr>
      </w:pPr>
      <w:r>
        <w:rPr>
          <w:rFonts w:eastAsia="仿宋_GB2312"/>
          <w:color w:val="000000"/>
          <w:sz w:val="24"/>
          <w:szCs w:val="24"/>
        </w:rPr>
        <w:t>选择题 20分（10小题，每小题2分）</w:t>
      </w:r>
    </w:p>
    <w:p>
      <w:pPr>
        <w:spacing w:line="324" w:lineRule="auto"/>
        <w:ind w:firstLine="480" w:firstLineChars="200"/>
        <w:rPr>
          <w:rFonts w:eastAsia="仿宋_GB2312"/>
          <w:color w:val="000000"/>
          <w:sz w:val="24"/>
          <w:szCs w:val="24"/>
        </w:rPr>
      </w:pPr>
      <w:r>
        <w:rPr>
          <w:rFonts w:eastAsia="仿宋_GB2312"/>
          <w:color w:val="000000"/>
          <w:sz w:val="24"/>
          <w:szCs w:val="24"/>
        </w:rPr>
        <w:t>简答题 50分（5小题，每小题10分）</w:t>
      </w:r>
    </w:p>
    <w:p>
      <w:pPr>
        <w:spacing w:line="324" w:lineRule="auto"/>
        <w:ind w:firstLine="480" w:firstLineChars="200"/>
        <w:rPr>
          <w:rFonts w:eastAsia="仿宋_GB2312"/>
          <w:color w:val="000000"/>
          <w:sz w:val="24"/>
          <w:szCs w:val="24"/>
        </w:rPr>
      </w:pPr>
      <w:r>
        <w:rPr>
          <w:rFonts w:eastAsia="仿宋_GB2312"/>
          <w:color w:val="000000"/>
          <w:sz w:val="24"/>
          <w:szCs w:val="24"/>
        </w:rPr>
        <w:t>论述题</w:t>
      </w:r>
      <w:r>
        <w:rPr>
          <w:rFonts w:eastAsia="仿宋_GB2312"/>
          <w:color w:val="000000"/>
          <w:sz w:val="24"/>
          <w:szCs w:val="24"/>
        </w:rPr>
        <w:tab/>
      </w:r>
      <w:r>
        <w:rPr>
          <w:rFonts w:eastAsia="仿宋_GB2312"/>
          <w:color w:val="000000"/>
          <w:sz w:val="24"/>
          <w:szCs w:val="24"/>
        </w:rPr>
        <w:t xml:space="preserve"> 40分（2小题，每小题20分）</w:t>
      </w:r>
    </w:p>
    <w:p>
      <w:pPr>
        <w:spacing w:line="324" w:lineRule="auto"/>
        <w:ind w:firstLine="480" w:firstLineChars="200"/>
        <w:rPr>
          <w:rFonts w:eastAsia="仿宋_GB2312"/>
          <w:color w:val="000000"/>
          <w:sz w:val="24"/>
          <w:szCs w:val="24"/>
        </w:rPr>
      </w:pPr>
    </w:p>
    <w:p>
      <w:pPr>
        <w:spacing w:line="324" w:lineRule="auto"/>
        <w:ind w:firstLine="480" w:firstLineChars="200"/>
        <w:rPr>
          <w:rFonts w:eastAsia="仿宋_GB2312"/>
          <w:color w:val="000000"/>
          <w:sz w:val="24"/>
          <w:szCs w:val="24"/>
        </w:rPr>
      </w:pPr>
      <w:r>
        <w:rPr>
          <w:rFonts w:eastAsia="仿宋_GB2312"/>
          <w:color w:val="000000"/>
          <w:sz w:val="24"/>
          <w:szCs w:val="24"/>
        </w:rPr>
        <w:t>Ⅳ．考查内容</w:t>
      </w:r>
    </w:p>
    <w:p>
      <w:pPr>
        <w:numPr>
          <w:ilvl w:val="0"/>
          <w:numId w:val="1"/>
        </w:numPr>
        <w:jc w:val="center"/>
        <w:rPr>
          <w:rFonts w:ascii="华文中宋" w:hAnsi="华文中宋" w:eastAsia="华文中宋"/>
          <w:b/>
        </w:rPr>
      </w:pPr>
      <w:bookmarkStart w:id="0" w:name="_GoBack"/>
      <w:bookmarkEnd w:id="0"/>
      <w:r>
        <w:rPr>
          <w:rFonts w:ascii="华文中宋" w:hAnsi="华文中宋" w:eastAsia="华文中宋"/>
          <w:b/>
        </w:rPr>
        <w:t>绪论</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第一节 植物保护的概念</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第二节 植物保护的社会责任和义务</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第三节 植物保护学的研究内容</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要求一般了解与掌握的内容有：植物保护学的研究内容。</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 植物保护、有害生物和生物灾害的概念。（2）植物保护的对象、目的及方式与方针。（3）3R 问题。（4）植物保护与人类的关系，包括农业生产、环境、生态、社会关系等。</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hint="eastAsia" w:ascii="华文中宋" w:hAnsi="华文中宋" w:eastAsia="华文中宋"/>
          <w:b/>
        </w:rPr>
        <w:t xml:space="preserve"> </w:t>
      </w:r>
      <w:r>
        <w:rPr>
          <w:rFonts w:ascii="华文中宋" w:hAnsi="华文中宋" w:eastAsia="华文中宋"/>
          <w:b/>
        </w:rPr>
        <w:t>植物病害</w:t>
      </w:r>
    </w:p>
    <w:p>
      <w:pPr>
        <w:widowControl/>
        <w:spacing w:line="340" w:lineRule="atLeast"/>
        <w:ind w:firstLine="420"/>
        <w:jc w:val="left"/>
        <w:rPr>
          <w:color w:val="444444"/>
          <w:kern w:val="0"/>
          <w:szCs w:val="21"/>
        </w:rPr>
      </w:pPr>
      <w:r>
        <w:rPr>
          <w:rFonts w:hAnsi="宋体"/>
          <w:color w:val="444444"/>
          <w:kern w:val="0"/>
          <w:szCs w:val="21"/>
        </w:rPr>
        <w:t>第一节</w:t>
      </w:r>
      <w:r>
        <w:rPr>
          <w:color w:val="444444"/>
          <w:kern w:val="0"/>
          <w:szCs w:val="21"/>
        </w:rPr>
        <w:t xml:space="preserve"> </w:t>
      </w:r>
      <w:r>
        <w:rPr>
          <w:rFonts w:hAnsi="宋体"/>
          <w:color w:val="444444"/>
          <w:kern w:val="0"/>
          <w:szCs w:val="21"/>
        </w:rPr>
        <w:t>植物病害的基本概念</w:t>
      </w:r>
    </w:p>
    <w:p>
      <w:pPr>
        <w:widowControl/>
        <w:spacing w:line="340" w:lineRule="atLeast"/>
        <w:ind w:firstLine="420"/>
        <w:jc w:val="left"/>
        <w:rPr>
          <w:color w:val="444444"/>
          <w:kern w:val="0"/>
          <w:szCs w:val="21"/>
        </w:rPr>
      </w:pPr>
      <w:r>
        <w:rPr>
          <w:rFonts w:hAnsi="宋体"/>
          <w:color w:val="444444"/>
          <w:kern w:val="0"/>
          <w:szCs w:val="21"/>
        </w:rPr>
        <w:t>第二节</w:t>
      </w:r>
      <w:r>
        <w:rPr>
          <w:color w:val="444444"/>
          <w:kern w:val="0"/>
          <w:szCs w:val="21"/>
        </w:rPr>
        <w:t xml:space="preserve"> </w:t>
      </w:r>
      <w:r>
        <w:rPr>
          <w:rFonts w:hAnsi="宋体"/>
          <w:color w:val="444444"/>
          <w:kern w:val="0"/>
          <w:szCs w:val="21"/>
        </w:rPr>
        <w:t>植物病原物</w:t>
      </w:r>
    </w:p>
    <w:p>
      <w:pPr>
        <w:widowControl/>
        <w:spacing w:line="340" w:lineRule="atLeast"/>
        <w:ind w:firstLine="420"/>
        <w:jc w:val="left"/>
        <w:rPr>
          <w:color w:val="444444"/>
          <w:kern w:val="0"/>
          <w:szCs w:val="21"/>
        </w:rPr>
      </w:pPr>
      <w:r>
        <w:rPr>
          <w:rFonts w:hAnsi="宋体"/>
          <w:color w:val="444444"/>
          <w:kern w:val="0"/>
          <w:szCs w:val="21"/>
        </w:rPr>
        <w:t>第三节</w:t>
      </w:r>
      <w:r>
        <w:rPr>
          <w:color w:val="444444"/>
          <w:kern w:val="0"/>
          <w:szCs w:val="21"/>
        </w:rPr>
        <w:t xml:space="preserve"> </w:t>
      </w:r>
      <w:r>
        <w:rPr>
          <w:rFonts w:hAnsi="宋体"/>
          <w:color w:val="444444"/>
          <w:kern w:val="0"/>
          <w:szCs w:val="21"/>
        </w:rPr>
        <w:t>病原物的侵染过程和病害循环</w:t>
      </w:r>
    </w:p>
    <w:p>
      <w:pPr>
        <w:widowControl/>
        <w:spacing w:line="340" w:lineRule="atLeast"/>
        <w:ind w:firstLine="420"/>
        <w:jc w:val="left"/>
        <w:rPr>
          <w:color w:val="444444"/>
          <w:kern w:val="0"/>
          <w:szCs w:val="21"/>
        </w:rPr>
      </w:pPr>
      <w:r>
        <w:rPr>
          <w:rFonts w:hAnsi="宋体"/>
          <w:color w:val="444444"/>
          <w:kern w:val="0"/>
          <w:szCs w:val="21"/>
        </w:rPr>
        <w:t>第四节</w:t>
      </w:r>
      <w:r>
        <w:rPr>
          <w:color w:val="444444"/>
          <w:kern w:val="0"/>
          <w:szCs w:val="21"/>
        </w:rPr>
        <w:t xml:space="preserve"> </w:t>
      </w:r>
      <w:r>
        <w:rPr>
          <w:rFonts w:hAnsi="宋体"/>
          <w:color w:val="444444"/>
          <w:kern w:val="0"/>
          <w:szCs w:val="21"/>
        </w:rPr>
        <w:t>植物病害的诊断</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要求一般了解与掌握的内容有：（1）植物病原菌物、原核生物、病毒的一般性状，植物病原线虫、寄生性种子植物。（2）病原物的侵染过程。（3）植物病害的诊断。</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要求深刻理解与熟练掌握的内容有：（1）病害三角；植物病害的病征、病状；侵染性病害和非侵染性病害；寄生性和致病性。（2） 真菌无性孢子和有性孢子的种类；菌物类群的特征。（3）原核生物的形态特征、重要的原核生物及引起的农业病害。（4）病毒的特征、命名、特性及常见的病毒病。（5）线虫形态特征。（6）寄生性植物的概念及种类、危害特点。（7）病害循环、柯赫氏法则。</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hint="eastAsia" w:ascii="华文中宋" w:hAnsi="华文中宋" w:eastAsia="华文中宋"/>
          <w:b/>
        </w:rPr>
        <w:t xml:space="preserve"> </w:t>
      </w:r>
      <w:r>
        <w:rPr>
          <w:rFonts w:ascii="华文中宋" w:hAnsi="华文中宋" w:eastAsia="华文中宋"/>
          <w:b/>
        </w:rPr>
        <w:t>植物虫害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昆虫的形态结构</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昆虫的生物学特性</w:t>
      </w:r>
    </w:p>
    <w:p>
      <w:pPr>
        <w:widowControl/>
        <w:spacing w:line="340" w:lineRule="atLeast"/>
        <w:ind w:firstLine="42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植</w:t>
      </w:r>
      <w:r>
        <w:rPr>
          <w:rFonts w:hint="eastAsia" w:hAnsi="宋体"/>
          <w:color w:val="444444"/>
          <w:kern w:val="0"/>
          <w:szCs w:val="21"/>
        </w:rPr>
        <w:t>食昆虫及</w:t>
      </w:r>
      <w:r>
        <w:rPr>
          <w:rFonts w:hAnsi="宋体"/>
          <w:color w:val="444444"/>
          <w:kern w:val="0"/>
          <w:szCs w:val="21"/>
        </w:rPr>
        <w:t>其危害</w:t>
      </w:r>
    </w:p>
    <w:p>
      <w:pPr>
        <w:widowControl/>
        <w:spacing w:line="340" w:lineRule="atLeast"/>
        <w:ind w:firstLine="420"/>
        <w:jc w:val="left"/>
        <w:rPr>
          <w:rFonts w:hint="eastAsia" w:hAnsi="宋体"/>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农业害螨及其危害</w:t>
      </w:r>
    </w:p>
    <w:p>
      <w:pPr>
        <w:widowControl/>
        <w:spacing w:line="340" w:lineRule="atLeast"/>
        <w:ind w:firstLine="840" w:firstLineChars="400"/>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要求一般了解与掌握的内容有：（1）昆虫的形态结构与功能。（2）昆虫的生物学特性。</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昆虫纲的特征与生物学习性。（2）掌握直翅目、半翅目、同翅目、缨翅目、鞘翅目、鳞翅目、膜翅目和双翅目的主要形态特征与特点及其常见害虫。（3）螨类的分类地位及主要形态特征及种类。</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农田草害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杂草的概念及其生物学特性</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杂草生态学</w:t>
      </w:r>
    </w:p>
    <w:p>
      <w:pPr>
        <w:widowControl/>
        <w:spacing w:line="340" w:lineRule="atLeast"/>
        <w:ind w:firstLine="420"/>
        <w:jc w:val="left"/>
        <w:rPr>
          <w:rFonts w:hint="eastAsia" w:hAnsi="宋体"/>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杂草的分类及主要杂草介绍</w:t>
      </w:r>
    </w:p>
    <w:p>
      <w:pPr>
        <w:widowControl/>
        <w:spacing w:line="340" w:lineRule="atLeast"/>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要求一般了解与掌握的内容有：（1）杂草的概念及其生物学特性；（2）杂草的分类。</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要求深刻理解与熟练掌握的内容有：（1）杂草种子库。（2）杂草对作物的影响：竞争、他感作用。（3）杂草种群动态与群落演替及顶级群落</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农业鼠害</w:t>
      </w:r>
    </w:p>
    <w:p>
      <w:pPr>
        <w:widowControl/>
        <w:spacing w:line="340" w:lineRule="atLeast"/>
        <w:ind w:firstLine="42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鼠类的概念及形态特征</w:t>
      </w:r>
    </w:p>
    <w:p>
      <w:pPr>
        <w:widowControl/>
        <w:spacing w:line="340" w:lineRule="atLeast"/>
        <w:ind w:firstLine="42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鼠类的生物学习性</w:t>
      </w:r>
    </w:p>
    <w:p>
      <w:pPr>
        <w:widowControl/>
        <w:spacing w:line="340" w:lineRule="atLeast"/>
        <w:ind w:firstLine="42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中国主要的农林牧害鼠</w:t>
      </w:r>
    </w:p>
    <w:p>
      <w:pPr>
        <w:widowControl/>
        <w:spacing w:line="340" w:lineRule="atLeast"/>
        <w:ind w:firstLine="420"/>
        <w:jc w:val="left"/>
        <w:rPr>
          <w:rFonts w:hint="eastAsia" w:hAnsi="宋体"/>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鼠害及其防治</w:t>
      </w:r>
    </w:p>
    <w:p>
      <w:pPr>
        <w:widowControl/>
        <w:spacing w:line="340" w:lineRule="atLeast"/>
        <w:ind w:firstLine="420"/>
        <w:jc w:val="left"/>
        <w:rPr>
          <w:rFonts w:hint="eastAsia" w:hAnsi="宋体"/>
          <w:color w:val="444444"/>
          <w:kern w:val="0"/>
          <w:szCs w:val="21"/>
        </w:rPr>
      </w:pP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要求一般了解与掌握的内容有：（1）鼠害的概念及其生物学特性；（2）害鼠的种类。</w:t>
      </w:r>
    </w:p>
    <w:p>
      <w:pPr>
        <w:widowControl/>
        <w:spacing w:line="340" w:lineRule="atLeast"/>
        <w:ind w:firstLine="420" w:firstLineChars="200"/>
        <w:jc w:val="left"/>
        <w:rPr>
          <w:rFonts w:hint="eastAsia" w:hAnsi="宋体"/>
          <w:color w:val="444444"/>
          <w:kern w:val="0"/>
          <w:szCs w:val="21"/>
        </w:rPr>
      </w:pPr>
      <w:r>
        <w:rPr>
          <w:rFonts w:hint="eastAsia" w:hAnsi="宋体"/>
          <w:color w:val="444444"/>
          <w:kern w:val="0"/>
          <w:szCs w:val="21"/>
        </w:rPr>
        <w:t>要求深刻理解与熟练掌握的内容有：（1）害鼠的形态特征。（2）鼠害的防治</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农业有害生物的发生规律及预测</w:t>
      </w:r>
    </w:p>
    <w:p>
      <w:pPr>
        <w:widowControl/>
        <w:spacing w:line="340" w:lineRule="atLeast"/>
        <w:ind w:firstLine="420" w:firstLineChars="200"/>
        <w:jc w:val="left"/>
        <w:rPr>
          <w:color w:val="444444"/>
          <w:kern w:val="0"/>
          <w:szCs w:val="21"/>
        </w:rPr>
      </w:pPr>
      <w:r>
        <w:rPr>
          <w:rFonts w:hAnsi="宋体"/>
          <w:color w:val="444444"/>
          <w:kern w:val="0"/>
          <w:szCs w:val="21"/>
        </w:rPr>
        <w:t>第一节</w:t>
      </w:r>
      <w:r>
        <w:rPr>
          <w:rFonts w:hint="eastAsia" w:hAnsi="宋体"/>
          <w:color w:val="444444"/>
          <w:kern w:val="0"/>
          <w:szCs w:val="21"/>
        </w:rPr>
        <w:t xml:space="preserve"> </w:t>
      </w:r>
      <w:r>
        <w:rPr>
          <w:rFonts w:hAnsi="宋体"/>
          <w:color w:val="444444"/>
          <w:kern w:val="0"/>
          <w:szCs w:val="21"/>
        </w:rPr>
        <w:t>植物病害的流行</w:t>
      </w:r>
    </w:p>
    <w:p>
      <w:pPr>
        <w:widowControl/>
        <w:spacing w:line="340" w:lineRule="atLeast"/>
        <w:ind w:firstLine="420" w:firstLineChars="200"/>
        <w:jc w:val="left"/>
        <w:rPr>
          <w:color w:val="444444"/>
          <w:kern w:val="0"/>
          <w:szCs w:val="21"/>
        </w:rPr>
      </w:pPr>
      <w:r>
        <w:rPr>
          <w:rFonts w:hAnsi="宋体"/>
          <w:color w:val="444444"/>
          <w:kern w:val="0"/>
          <w:szCs w:val="21"/>
        </w:rPr>
        <w:t>第二节</w:t>
      </w:r>
      <w:r>
        <w:rPr>
          <w:rFonts w:hint="eastAsia" w:hAnsi="宋体"/>
          <w:color w:val="444444"/>
          <w:kern w:val="0"/>
          <w:szCs w:val="21"/>
        </w:rPr>
        <w:t xml:space="preserve"> </w:t>
      </w:r>
      <w:r>
        <w:rPr>
          <w:rFonts w:hAnsi="宋体"/>
          <w:color w:val="444444"/>
          <w:kern w:val="0"/>
          <w:szCs w:val="21"/>
        </w:rPr>
        <w:t>植物害虫种群动态</w:t>
      </w:r>
    </w:p>
    <w:p>
      <w:pPr>
        <w:widowControl/>
        <w:spacing w:line="340" w:lineRule="atLeast"/>
        <w:ind w:firstLine="420" w:firstLineChars="200"/>
        <w:jc w:val="left"/>
        <w:rPr>
          <w:color w:val="444444"/>
          <w:kern w:val="0"/>
          <w:szCs w:val="21"/>
        </w:rPr>
      </w:pPr>
      <w:r>
        <w:rPr>
          <w:rFonts w:hAnsi="宋体"/>
          <w:color w:val="444444"/>
          <w:kern w:val="0"/>
          <w:szCs w:val="21"/>
        </w:rPr>
        <w:t>第三节</w:t>
      </w:r>
      <w:r>
        <w:rPr>
          <w:rFonts w:hint="eastAsia" w:hAnsi="宋体"/>
          <w:color w:val="444444"/>
          <w:kern w:val="0"/>
          <w:szCs w:val="21"/>
        </w:rPr>
        <w:t xml:space="preserve"> </w:t>
      </w:r>
      <w:r>
        <w:rPr>
          <w:rFonts w:hAnsi="宋体"/>
          <w:color w:val="444444"/>
          <w:kern w:val="0"/>
          <w:szCs w:val="21"/>
        </w:rPr>
        <w:t>植物病虫害预测</w:t>
      </w:r>
    </w:p>
    <w:p>
      <w:pPr>
        <w:widowControl/>
        <w:spacing w:line="340" w:lineRule="atLeast"/>
        <w:ind w:firstLine="420" w:firstLineChars="200"/>
        <w:jc w:val="left"/>
        <w:rPr>
          <w:color w:val="444444"/>
          <w:kern w:val="0"/>
          <w:szCs w:val="21"/>
        </w:rPr>
      </w:pPr>
      <w:r>
        <w:rPr>
          <w:rFonts w:hAnsi="宋体"/>
          <w:color w:val="444444"/>
          <w:kern w:val="0"/>
          <w:szCs w:val="21"/>
        </w:rPr>
        <w:t>第四节</w:t>
      </w:r>
      <w:r>
        <w:rPr>
          <w:rFonts w:hint="eastAsia" w:hAnsi="宋体"/>
          <w:color w:val="444444"/>
          <w:kern w:val="0"/>
          <w:szCs w:val="21"/>
        </w:rPr>
        <w:t xml:space="preserve"> </w:t>
      </w:r>
      <w:r>
        <w:rPr>
          <w:rFonts w:hAnsi="宋体"/>
          <w:color w:val="444444"/>
          <w:kern w:val="0"/>
          <w:szCs w:val="21"/>
        </w:rPr>
        <w:t>杂草群落演替与群动态预测</w:t>
      </w:r>
    </w:p>
    <w:p>
      <w:pPr>
        <w:widowControl/>
        <w:spacing w:line="340" w:lineRule="atLeast"/>
        <w:ind w:firstLine="420" w:firstLineChars="200"/>
        <w:jc w:val="left"/>
        <w:rPr>
          <w:rFonts w:hint="eastAsia" w:hAnsi="宋体"/>
          <w:color w:val="444444"/>
          <w:kern w:val="0"/>
          <w:szCs w:val="21"/>
        </w:rPr>
      </w:pPr>
      <w:r>
        <w:rPr>
          <w:rFonts w:hAnsi="宋体"/>
          <w:color w:val="444444"/>
          <w:kern w:val="0"/>
          <w:szCs w:val="21"/>
        </w:rPr>
        <w:t>第五节</w:t>
      </w:r>
      <w:r>
        <w:rPr>
          <w:rFonts w:hint="eastAsia" w:hAnsi="宋体"/>
          <w:color w:val="444444"/>
          <w:kern w:val="0"/>
          <w:szCs w:val="21"/>
        </w:rPr>
        <w:t xml:space="preserve"> </w:t>
      </w:r>
      <w:r>
        <w:rPr>
          <w:rFonts w:hAnsi="宋体"/>
          <w:color w:val="444444"/>
          <w:kern w:val="0"/>
          <w:szCs w:val="21"/>
        </w:rPr>
        <w:t>农业鼠害预测</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要求一般了解与掌握的内容有：（1）病害流行的类型。（2）害虫种群的定义、种群特征、种群结构。</w:t>
      </w:r>
    </w:p>
    <w:p>
      <w:pPr>
        <w:widowControl/>
        <w:spacing w:line="340" w:lineRule="atLeast"/>
        <w:ind w:firstLine="420"/>
        <w:jc w:val="left"/>
        <w:rPr>
          <w:rFonts w:hint="eastAsia" w:hAnsi="宋体"/>
          <w:color w:val="444444"/>
          <w:kern w:val="0"/>
          <w:szCs w:val="21"/>
        </w:rPr>
      </w:pPr>
      <w:r>
        <w:rPr>
          <w:rFonts w:hint="eastAsia" w:hAnsi="宋体"/>
          <w:color w:val="444444"/>
          <w:kern w:val="0"/>
          <w:szCs w:val="21"/>
        </w:rPr>
        <w:t>要求深刻理解与熟练掌握的内容有：（1）植物病害流行的概念及病害流行的因素。（2）害虫的生长和消长类型及因素分析。（3）病虫害的调查方法及预测技术。</w:t>
      </w:r>
    </w:p>
    <w:p>
      <w:pPr>
        <w:widowControl/>
        <w:spacing w:line="340" w:lineRule="atLeast"/>
        <w:ind w:firstLine="420"/>
        <w:jc w:val="left"/>
        <w:rPr>
          <w:rFonts w:hint="eastAsia" w:hAnsi="宋体"/>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农业有害生物的防治技术与策略</w:t>
      </w:r>
    </w:p>
    <w:p>
      <w:pPr>
        <w:widowControl/>
        <w:spacing w:line="340" w:lineRule="atLeast"/>
        <w:ind w:firstLine="420" w:firstLineChars="200"/>
        <w:jc w:val="left"/>
        <w:rPr>
          <w:color w:val="444444"/>
          <w:kern w:val="0"/>
          <w:szCs w:val="21"/>
        </w:rPr>
      </w:pPr>
      <w:r>
        <w:rPr>
          <w:rFonts w:hint="eastAsia"/>
          <w:color w:val="444444"/>
          <w:kern w:val="0"/>
          <w:szCs w:val="21"/>
        </w:rPr>
        <w:t>第一节 有害生物的防治技术</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第二节 有害生物的防治策略</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要求一般了解与掌握的内容有：（1）植保方针；（2）植物检疫、农业防治、作物抗害品种的利用、生物防治及化学防治等各种防治方法的特点、利弊及在综合防治中的应用。</w:t>
      </w:r>
    </w:p>
    <w:p>
      <w:pPr>
        <w:widowControl/>
        <w:spacing w:line="340" w:lineRule="atLeast"/>
        <w:ind w:firstLine="420"/>
        <w:jc w:val="left"/>
        <w:rPr>
          <w:rFonts w:hint="eastAsia"/>
          <w:color w:val="444444"/>
          <w:kern w:val="0"/>
          <w:szCs w:val="21"/>
        </w:rPr>
      </w:pPr>
      <w:r>
        <w:rPr>
          <w:rFonts w:hint="eastAsia"/>
          <w:color w:val="444444"/>
          <w:kern w:val="0"/>
          <w:szCs w:val="21"/>
        </w:rPr>
        <w:t>要求深刻理解与熟练掌握的内容有：（1）经济阈值。（2）IPM（IPC）、TPM。（3）农药的种类及作用特点。</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主要作物病虫害综合治理</w:t>
      </w:r>
    </w:p>
    <w:p>
      <w:pPr>
        <w:widowControl/>
        <w:spacing w:line="340" w:lineRule="atLeast"/>
        <w:ind w:firstLine="420" w:firstLineChars="200"/>
        <w:jc w:val="left"/>
        <w:rPr>
          <w:color w:val="444444"/>
          <w:kern w:val="0"/>
          <w:szCs w:val="21"/>
        </w:rPr>
      </w:pPr>
      <w:r>
        <w:rPr>
          <w:rFonts w:hint="eastAsia"/>
          <w:color w:val="444444"/>
          <w:kern w:val="0"/>
          <w:szCs w:val="21"/>
        </w:rPr>
        <w:t>第一节 水稻病虫草害综合治理</w:t>
      </w:r>
    </w:p>
    <w:p>
      <w:pPr>
        <w:widowControl/>
        <w:spacing w:line="340" w:lineRule="atLeast"/>
        <w:ind w:firstLine="420" w:firstLineChars="200"/>
        <w:jc w:val="left"/>
        <w:rPr>
          <w:color w:val="444444"/>
          <w:kern w:val="0"/>
          <w:szCs w:val="21"/>
        </w:rPr>
      </w:pPr>
      <w:r>
        <w:rPr>
          <w:rFonts w:hint="eastAsia"/>
          <w:color w:val="444444"/>
          <w:kern w:val="0"/>
          <w:szCs w:val="21"/>
        </w:rPr>
        <w:t>第二节 小麦病虫害综合治理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第三节 棉花病虫害综合治理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第四节 果树病虫害综合治理</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第五节 蔬菜病虫害综合治理</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要求一般了解与掌握的内容有：（1）水稻、果树、蔬菜、小麦、棉花重要病虫害的种类。（2）水稻、果树、蔬菜、小麦、棉花重要病虫害的发生危害特点。</w:t>
      </w:r>
    </w:p>
    <w:p>
      <w:pPr>
        <w:widowControl/>
        <w:spacing w:line="340" w:lineRule="atLeast"/>
        <w:ind w:firstLine="420"/>
        <w:jc w:val="left"/>
        <w:rPr>
          <w:rFonts w:hint="eastAsia"/>
          <w:color w:val="444444"/>
          <w:kern w:val="0"/>
          <w:szCs w:val="21"/>
        </w:rPr>
      </w:pPr>
      <w:r>
        <w:rPr>
          <w:rFonts w:hint="eastAsia"/>
          <w:color w:val="444444"/>
          <w:kern w:val="0"/>
          <w:szCs w:val="21"/>
        </w:rPr>
        <w:t>要求深刻理解与熟练掌握的内容有：水稻、果树、蔬菜、小麦、棉花重要病虫害的综合防治。</w:t>
      </w:r>
    </w:p>
    <w:p>
      <w:pPr>
        <w:widowControl/>
        <w:spacing w:line="340" w:lineRule="atLeast"/>
        <w:ind w:firstLine="420"/>
        <w:jc w:val="left"/>
        <w:rPr>
          <w:rFonts w:hint="eastAsia"/>
          <w:color w:val="444444"/>
          <w:kern w:val="0"/>
          <w:szCs w:val="21"/>
        </w:rPr>
      </w:pPr>
    </w:p>
    <w:p>
      <w:pPr>
        <w:widowControl/>
        <w:spacing w:line="340" w:lineRule="atLeast"/>
        <w:ind w:firstLine="420"/>
        <w:jc w:val="left"/>
        <w:rPr>
          <w:color w:val="444444"/>
          <w:kern w:val="0"/>
          <w:szCs w:val="21"/>
        </w:rPr>
      </w:pPr>
    </w:p>
    <w:p>
      <w:pPr>
        <w:widowControl/>
        <w:numPr>
          <w:ilvl w:val="0"/>
          <w:numId w:val="1"/>
        </w:numPr>
        <w:spacing w:line="340" w:lineRule="atLeast"/>
        <w:jc w:val="center"/>
        <w:rPr>
          <w:rFonts w:ascii="华文中宋" w:hAnsi="华文中宋" w:eastAsia="华文中宋"/>
          <w:b/>
        </w:rPr>
      </w:pPr>
      <w:r>
        <w:rPr>
          <w:rFonts w:ascii="华文中宋" w:hAnsi="华文中宋" w:eastAsia="华文中宋"/>
          <w:b/>
        </w:rPr>
        <w:t>植物保护技术推广</w:t>
      </w:r>
    </w:p>
    <w:p>
      <w:pPr>
        <w:ind w:firstLine="405"/>
        <w:jc w:val="center"/>
        <w:rPr>
          <w:rFonts w:hint="eastAsia" w:ascii="华文中宋" w:hAnsi="华文中宋" w:eastAsia="华文中宋"/>
          <w:b/>
        </w:rPr>
      </w:pPr>
    </w:p>
    <w:p>
      <w:pPr>
        <w:widowControl/>
        <w:spacing w:line="340" w:lineRule="atLeast"/>
        <w:ind w:firstLine="420" w:firstLineChars="200"/>
        <w:jc w:val="left"/>
        <w:rPr>
          <w:color w:val="444444"/>
          <w:kern w:val="0"/>
          <w:szCs w:val="21"/>
        </w:rPr>
      </w:pPr>
      <w:r>
        <w:rPr>
          <w:rFonts w:hint="eastAsia"/>
          <w:color w:val="444444"/>
          <w:kern w:val="0"/>
          <w:szCs w:val="21"/>
        </w:rPr>
        <w:t>第一节 植物保护技术的推广形式</w:t>
      </w:r>
    </w:p>
    <w:p>
      <w:pPr>
        <w:widowControl/>
        <w:spacing w:line="340" w:lineRule="atLeast"/>
        <w:ind w:firstLine="420" w:firstLineChars="200"/>
        <w:jc w:val="left"/>
        <w:rPr>
          <w:rFonts w:hint="eastAsia"/>
          <w:color w:val="444444"/>
          <w:kern w:val="0"/>
          <w:szCs w:val="21"/>
        </w:rPr>
      </w:pPr>
      <w:r>
        <w:rPr>
          <w:rFonts w:hint="eastAsia"/>
          <w:color w:val="444444"/>
          <w:kern w:val="0"/>
          <w:szCs w:val="21"/>
        </w:rPr>
        <w:t>第二节 植物保护技术推广体系</w:t>
      </w:r>
    </w:p>
    <w:p>
      <w:pPr>
        <w:widowControl/>
        <w:spacing w:line="340" w:lineRule="atLeast"/>
        <w:ind w:firstLine="420" w:firstLineChars="200"/>
        <w:jc w:val="left"/>
        <w:rPr>
          <w:color w:val="444444"/>
          <w:kern w:val="0"/>
          <w:szCs w:val="21"/>
        </w:rPr>
      </w:pPr>
      <w:r>
        <w:rPr>
          <w:rFonts w:hint="eastAsia"/>
          <w:color w:val="444444"/>
          <w:kern w:val="0"/>
          <w:szCs w:val="21"/>
        </w:rPr>
        <w:t>第三节 植物保护器材的管理与销售</w:t>
      </w:r>
    </w:p>
    <w:p>
      <w:pPr>
        <w:widowControl/>
        <w:spacing w:line="340" w:lineRule="atLeast"/>
        <w:ind w:firstLine="420"/>
        <w:jc w:val="left"/>
        <w:rPr>
          <w:rFonts w:hint="eastAsia"/>
          <w:color w:val="444444"/>
          <w:kern w:val="0"/>
          <w:szCs w:val="21"/>
        </w:rPr>
      </w:pPr>
    </w:p>
    <w:p>
      <w:pPr>
        <w:widowControl/>
        <w:spacing w:line="340" w:lineRule="atLeast"/>
        <w:ind w:firstLine="420"/>
        <w:jc w:val="left"/>
        <w:rPr>
          <w:rFonts w:hint="eastAsia"/>
          <w:color w:val="444444"/>
          <w:kern w:val="0"/>
          <w:szCs w:val="21"/>
        </w:rPr>
      </w:pPr>
      <w:r>
        <w:rPr>
          <w:rFonts w:hint="eastAsia"/>
          <w:color w:val="444444"/>
          <w:kern w:val="0"/>
          <w:szCs w:val="21"/>
        </w:rPr>
        <w:t>要求一般了解与掌握的内容有：（1） 植物保护技术的推广体系；（2）农药的产品管理。</w:t>
      </w:r>
    </w:p>
    <w:p>
      <w:pPr>
        <w:ind w:firstLine="420" w:firstLineChars="200"/>
        <w:rPr>
          <w:color w:val="000000"/>
          <w:sz w:val="28"/>
          <w:szCs w:val="28"/>
        </w:rPr>
      </w:pPr>
      <w:r>
        <w:rPr>
          <w:rFonts w:hint="eastAsia"/>
          <w:color w:val="444444"/>
          <w:kern w:val="0"/>
          <w:szCs w:val="21"/>
        </w:rPr>
        <w:t>要求深刻理解与熟练掌握的内容有：（1）服务式推广、行政式技术推广和教育式技术推广。（2）农药产品管理的三证。（3）中国一般采用的农药销售方式。</w:t>
      </w:r>
    </w:p>
    <w:sectPr>
      <w:headerReference r:id="rId3" w:type="default"/>
      <w:footerReference r:id="rId4" w:type="default"/>
      <w:pgSz w:w="11906" w:h="16838"/>
      <w:pgMar w:top="1418" w:right="1418" w:bottom="1418" w:left="1418"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4</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12CA0"/>
    <w:multiLevelType w:val="multilevel"/>
    <w:tmpl w:val="0A812CA0"/>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93"/>
  <w:drawingGridVerticalSpacing w:val="323"/>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52E6"/>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16AD"/>
    <w:rsid w:val="001055C1"/>
    <w:rsid w:val="001172ED"/>
    <w:rsid w:val="001423CE"/>
    <w:rsid w:val="001467C2"/>
    <w:rsid w:val="00147B67"/>
    <w:rsid w:val="0015224A"/>
    <w:rsid w:val="00153D62"/>
    <w:rsid w:val="001548B6"/>
    <w:rsid w:val="00155CF3"/>
    <w:rsid w:val="0016247E"/>
    <w:rsid w:val="00171AC8"/>
    <w:rsid w:val="0017335F"/>
    <w:rsid w:val="00182826"/>
    <w:rsid w:val="0018386E"/>
    <w:rsid w:val="00187CF5"/>
    <w:rsid w:val="001962B0"/>
    <w:rsid w:val="00196325"/>
    <w:rsid w:val="00196F51"/>
    <w:rsid w:val="001A673C"/>
    <w:rsid w:val="001A70F9"/>
    <w:rsid w:val="001A7371"/>
    <w:rsid w:val="001B3E6A"/>
    <w:rsid w:val="001B647D"/>
    <w:rsid w:val="001D3B16"/>
    <w:rsid w:val="001D5B9D"/>
    <w:rsid w:val="001D67B3"/>
    <w:rsid w:val="001F4FDC"/>
    <w:rsid w:val="001F5AB5"/>
    <w:rsid w:val="001F5C2A"/>
    <w:rsid w:val="001F7628"/>
    <w:rsid w:val="00202D07"/>
    <w:rsid w:val="0020584A"/>
    <w:rsid w:val="002062AE"/>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1C15"/>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3F5D59"/>
    <w:rsid w:val="00402B66"/>
    <w:rsid w:val="00407CAF"/>
    <w:rsid w:val="00424AC6"/>
    <w:rsid w:val="00427EE3"/>
    <w:rsid w:val="00431EC6"/>
    <w:rsid w:val="00432D31"/>
    <w:rsid w:val="00433D28"/>
    <w:rsid w:val="00434D46"/>
    <w:rsid w:val="00435381"/>
    <w:rsid w:val="00444531"/>
    <w:rsid w:val="00447252"/>
    <w:rsid w:val="00452A63"/>
    <w:rsid w:val="00454DF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1E64"/>
    <w:rsid w:val="005347BE"/>
    <w:rsid w:val="005429D4"/>
    <w:rsid w:val="0054366F"/>
    <w:rsid w:val="005506FB"/>
    <w:rsid w:val="00555BC6"/>
    <w:rsid w:val="0057092D"/>
    <w:rsid w:val="00586998"/>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35BB6"/>
    <w:rsid w:val="006416D1"/>
    <w:rsid w:val="006452A4"/>
    <w:rsid w:val="00652FAD"/>
    <w:rsid w:val="00656FDF"/>
    <w:rsid w:val="0066577F"/>
    <w:rsid w:val="00666D6B"/>
    <w:rsid w:val="0067147C"/>
    <w:rsid w:val="006731B9"/>
    <w:rsid w:val="006744AC"/>
    <w:rsid w:val="00682A5E"/>
    <w:rsid w:val="00683794"/>
    <w:rsid w:val="006902AF"/>
    <w:rsid w:val="006957A2"/>
    <w:rsid w:val="006A0D29"/>
    <w:rsid w:val="006B6B31"/>
    <w:rsid w:val="006C150E"/>
    <w:rsid w:val="006D16C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342CE"/>
    <w:rsid w:val="007377B0"/>
    <w:rsid w:val="00744B27"/>
    <w:rsid w:val="007456F0"/>
    <w:rsid w:val="007458C2"/>
    <w:rsid w:val="007458F8"/>
    <w:rsid w:val="00753B2D"/>
    <w:rsid w:val="007558AF"/>
    <w:rsid w:val="00757C6E"/>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0B60"/>
    <w:rsid w:val="007E2CF2"/>
    <w:rsid w:val="007F6A41"/>
    <w:rsid w:val="00801BB8"/>
    <w:rsid w:val="008034E7"/>
    <w:rsid w:val="00810912"/>
    <w:rsid w:val="00826E54"/>
    <w:rsid w:val="0083460B"/>
    <w:rsid w:val="008375AE"/>
    <w:rsid w:val="008376DF"/>
    <w:rsid w:val="0084396E"/>
    <w:rsid w:val="00847B8E"/>
    <w:rsid w:val="00850FC0"/>
    <w:rsid w:val="00851026"/>
    <w:rsid w:val="00852944"/>
    <w:rsid w:val="00852E71"/>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5D4D"/>
    <w:rsid w:val="008C7F38"/>
    <w:rsid w:val="008C7FFC"/>
    <w:rsid w:val="008D3202"/>
    <w:rsid w:val="008D47A1"/>
    <w:rsid w:val="008D584E"/>
    <w:rsid w:val="008D5DAD"/>
    <w:rsid w:val="008E21A3"/>
    <w:rsid w:val="008E4047"/>
    <w:rsid w:val="008E5985"/>
    <w:rsid w:val="008F7632"/>
    <w:rsid w:val="00901C1F"/>
    <w:rsid w:val="0091578D"/>
    <w:rsid w:val="00917E5E"/>
    <w:rsid w:val="00925A85"/>
    <w:rsid w:val="009403B1"/>
    <w:rsid w:val="00951421"/>
    <w:rsid w:val="009526CD"/>
    <w:rsid w:val="00953363"/>
    <w:rsid w:val="009675A5"/>
    <w:rsid w:val="00970A7C"/>
    <w:rsid w:val="0097437F"/>
    <w:rsid w:val="00976A9C"/>
    <w:rsid w:val="009830F3"/>
    <w:rsid w:val="00984A1F"/>
    <w:rsid w:val="0098605F"/>
    <w:rsid w:val="009952D5"/>
    <w:rsid w:val="00995E03"/>
    <w:rsid w:val="009A0604"/>
    <w:rsid w:val="009A0A83"/>
    <w:rsid w:val="009A26C0"/>
    <w:rsid w:val="009B5FAA"/>
    <w:rsid w:val="009C0F1F"/>
    <w:rsid w:val="009C18D7"/>
    <w:rsid w:val="009D1B5C"/>
    <w:rsid w:val="009D24F1"/>
    <w:rsid w:val="009D31A4"/>
    <w:rsid w:val="009D60F1"/>
    <w:rsid w:val="009E168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63428"/>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56735"/>
    <w:rsid w:val="00C606DC"/>
    <w:rsid w:val="00C731FB"/>
    <w:rsid w:val="00C73D3D"/>
    <w:rsid w:val="00C74BE9"/>
    <w:rsid w:val="00C85A5C"/>
    <w:rsid w:val="00C916F3"/>
    <w:rsid w:val="00C9349A"/>
    <w:rsid w:val="00C94F58"/>
    <w:rsid w:val="00CA18DC"/>
    <w:rsid w:val="00CA4C37"/>
    <w:rsid w:val="00CB1F60"/>
    <w:rsid w:val="00CB2F8F"/>
    <w:rsid w:val="00CB69F5"/>
    <w:rsid w:val="00CC3CD9"/>
    <w:rsid w:val="00CC52C9"/>
    <w:rsid w:val="00CC788A"/>
    <w:rsid w:val="00CD0ACD"/>
    <w:rsid w:val="00CD488E"/>
    <w:rsid w:val="00CE0B79"/>
    <w:rsid w:val="00CE6AC9"/>
    <w:rsid w:val="00CF16DE"/>
    <w:rsid w:val="00CF60B6"/>
    <w:rsid w:val="00D01BCD"/>
    <w:rsid w:val="00D2031A"/>
    <w:rsid w:val="00D23B98"/>
    <w:rsid w:val="00D42592"/>
    <w:rsid w:val="00D501D8"/>
    <w:rsid w:val="00D50F88"/>
    <w:rsid w:val="00D54B63"/>
    <w:rsid w:val="00D54F9E"/>
    <w:rsid w:val="00D604DE"/>
    <w:rsid w:val="00D640AD"/>
    <w:rsid w:val="00D7373B"/>
    <w:rsid w:val="00D74290"/>
    <w:rsid w:val="00D74E0A"/>
    <w:rsid w:val="00D8154A"/>
    <w:rsid w:val="00DA0716"/>
    <w:rsid w:val="00DB2B3E"/>
    <w:rsid w:val="00DB3E7A"/>
    <w:rsid w:val="00DB5A20"/>
    <w:rsid w:val="00DC05A9"/>
    <w:rsid w:val="00DD2F13"/>
    <w:rsid w:val="00DE2066"/>
    <w:rsid w:val="00DF72FA"/>
    <w:rsid w:val="00E01DAD"/>
    <w:rsid w:val="00E032FE"/>
    <w:rsid w:val="00E10130"/>
    <w:rsid w:val="00E13C52"/>
    <w:rsid w:val="00E16D06"/>
    <w:rsid w:val="00E26282"/>
    <w:rsid w:val="00E3397F"/>
    <w:rsid w:val="00E37BFB"/>
    <w:rsid w:val="00E40EB6"/>
    <w:rsid w:val="00E4240F"/>
    <w:rsid w:val="00E4604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13688"/>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82919"/>
    <w:rsid w:val="00F9215C"/>
    <w:rsid w:val="00F96704"/>
    <w:rsid w:val="00FA024C"/>
    <w:rsid w:val="00FA14C9"/>
    <w:rsid w:val="00FA18C0"/>
    <w:rsid w:val="00FA7B6C"/>
    <w:rsid w:val="00FB0C6C"/>
    <w:rsid w:val="00FB5D30"/>
    <w:rsid w:val="00FD7559"/>
    <w:rsid w:val="00FE35BD"/>
    <w:rsid w:val="00FF66DE"/>
    <w:rsid w:val="05AE5F89"/>
    <w:rsid w:val="2C6105CC"/>
    <w:rsid w:val="38FA1910"/>
    <w:rsid w:val="43251BA9"/>
    <w:rsid w:val="6B7970ED"/>
    <w:rsid w:val="70F071F8"/>
    <w:rsid w:val="757D08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Indent"/>
    <w:basedOn w:val="1"/>
    <w:link w:val="12"/>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qFormat/>
    <w:uiPriority w:val="0"/>
    <w:rPr>
      <w:color w:val="0000FF"/>
      <w:u w:val="single"/>
    </w:rPr>
  </w:style>
  <w:style w:type="character" w:customStyle="1" w:styleId="12">
    <w:name w:val="正文文本缩进 Char"/>
    <w:link w:val="2"/>
    <w:qFormat/>
    <w:uiPriority w:val="99"/>
    <w:rPr>
      <w:rFonts w:hAnsi="宋体"/>
      <w:kern w:val="2"/>
      <w:sz w:val="26"/>
      <w:szCs w:val="32"/>
    </w:rPr>
  </w:style>
  <w:style w:type="character" w:customStyle="1" w:styleId="13">
    <w:name w:val="页脚 Char"/>
    <w:link w:val="4"/>
    <w:qFormat/>
    <w:uiPriority w:val="0"/>
    <w:rPr>
      <w:kern w:val="2"/>
      <w:sz w:val="18"/>
      <w:szCs w:val="18"/>
    </w:rPr>
  </w:style>
  <w:style w:type="character" w:customStyle="1" w:styleId="14">
    <w:name w:val="页眉 Char"/>
    <w:link w:val="5"/>
    <w:qFormat/>
    <w:uiPriority w:val="0"/>
    <w:rPr>
      <w:kern w:val="2"/>
      <w:sz w:val="18"/>
      <w:szCs w:val="18"/>
    </w:rPr>
  </w:style>
  <w:style w:type="character" w:customStyle="1" w:styleId="15">
    <w:name w:val="apple-converted-space"/>
    <w:basedOn w:val="9"/>
    <w:qFormat/>
    <w:uiPriority w:val="0"/>
  </w:style>
  <w:style w:type="paragraph" w:customStyle="1" w:styleId="16">
    <w:name w:val="列出段落1"/>
    <w:basedOn w:val="1"/>
    <w:qFormat/>
    <w:uiPriority w:val="34"/>
    <w:pPr>
      <w:ind w:firstLine="420" w:firstLineChars="200"/>
    </w:pPr>
  </w:style>
  <w:style w:type="paragraph" w:customStyle="1" w:styleId="17">
    <w:name w:val="Default"/>
    <w:qFormat/>
    <w:uiPriority w:val="0"/>
    <w:pPr>
      <w:widowControl w:val="0"/>
      <w:autoSpaceDE w:val="0"/>
      <w:autoSpaceDN w:val="0"/>
      <w:adjustRightInd w:val="0"/>
    </w:pPr>
    <w:rPr>
      <w:rFonts w:ascii="仿宋_GB2312" w:hAnsi="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2177</Words>
  <Characters>2207</Characters>
  <Lines>16</Lines>
  <Paragraphs>4</Paragraphs>
  <TotalTime>0</TotalTime>
  <ScaleCrop>false</ScaleCrop>
  <LinksUpToDate>false</LinksUpToDate>
  <CharactersWithSpaces>2255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2021-09-15T14:28:00Z</dcterms:created>
  <dc:creator>李丽兰</dc:creator>
  <cp:lastModifiedBy>vertesyuan</cp:lastModifiedBy>
  <cp:lastPrinted>2018-07-16T02:14:00Z</cp:lastPrinted>
  <dcterms:modified xsi:type="dcterms:W3CDTF">2022-10-09T05:22:00Z</dcterms:modified>
  <dc:title>关于编制2002年硕士研究生招生专业目录的通知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6B0373C8B3AA46FCB1FCCD657684F96D</vt:lpwstr>
  </property>
</Properties>
</file>