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after="62"/>
        <w:rPr>
          <w:rFonts w:ascii="仿宋" w:hAnsi="仿宋" w:eastAsia="仿宋"/>
        </w:rPr>
      </w:pPr>
      <w:bookmarkStart w:id="0" w:name="_GoBack"/>
      <w:bookmarkEnd w:id="0"/>
      <w:r>
        <w:rPr>
          <w:rFonts w:hint="eastAsia"/>
        </w:rPr>
        <w:t>435</w:t>
      </w:r>
      <w:r>
        <w:t>《</w:t>
      </w:r>
      <w:r>
        <w:rPr>
          <w:rFonts w:hint="eastAsia"/>
        </w:rPr>
        <w:t>保险专业</w:t>
      </w:r>
      <w:r>
        <w:t>基础》自命题考试大纲</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46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jc w:val="center"/>
        </w:trPr>
        <w:tc>
          <w:tcPr>
            <w:tcW w:w="900" w:type="dxa"/>
            <w:noWrap w:val="0"/>
            <w:tcMar>
              <w:top w:w="0" w:type="dxa"/>
              <w:left w:w="108" w:type="dxa"/>
              <w:bottom w:w="0" w:type="dxa"/>
              <w:right w:w="108" w:type="dxa"/>
            </w:tcMar>
            <w:vAlign w:val="center"/>
          </w:tcPr>
          <w:p>
            <w:pPr>
              <w:widowControl/>
              <w:spacing w:line="460" w:lineRule="atLeast"/>
              <w:jc w:val="center"/>
              <w:rPr>
                <w:kern w:val="0"/>
                <w:sz w:val="24"/>
              </w:rPr>
            </w:pPr>
            <w:r>
              <w:rPr>
                <w:rFonts w:hAnsi="宋体"/>
                <w:b/>
                <w:bCs/>
                <w:kern w:val="0"/>
                <w:sz w:val="24"/>
              </w:rPr>
              <w:t>科目</w:t>
            </w:r>
          </w:p>
          <w:p>
            <w:pPr>
              <w:widowControl/>
              <w:wordWrap w:val="0"/>
              <w:spacing w:line="460" w:lineRule="atLeast"/>
              <w:jc w:val="center"/>
              <w:rPr>
                <w:kern w:val="0"/>
                <w:sz w:val="24"/>
              </w:rPr>
            </w:pPr>
            <w:r>
              <w:rPr>
                <w:rFonts w:hAnsi="宋体"/>
                <w:b/>
                <w:bCs/>
                <w:kern w:val="0"/>
                <w:sz w:val="24"/>
              </w:rPr>
              <w:t>代码</w:t>
            </w:r>
          </w:p>
        </w:tc>
        <w:tc>
          <w:tcPr>
            <w:tcW w:w="1465"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科目名称</w:t>
            </w:r>
          </w:p>
        </w:tc>
        <w:tc>
          <w:tcPr>
            <w:tcW w:w="7070" w:type="dxa"/>
            <w:noWrap w:val="0"/>
            <w:tcMar>
              <w:top w:w="0" w:type="dxa"/>
              <w:left w:w="108" w:type="dxa"/>
              <w:bottom w:w="0" w:type="dxa"/>
              <w:right w:w="108" w:type="dxa"/>
            </w:tcMar>
            <w:vAlign w:val="center"/>
          </w:tcPr>
          <w:p>
            <w:pPr>
              <w:widowControl/>
              <w:wordWrap w:val="0"/>
              <w:spacing w:line="460" w:lineRule="atLeast"/>
              <w:jc w:val="center"/>
              <w:rPr>
                <w:kern w:val="0"/>
                <w:sz w:val="24"/>
              </w:rPr>
            </w:pPr>
            <w:r>
              <w:rPr>
                <w:rFonts w:hAnsi="宋体"/>
                <w:b/>
                <w:bCs/>
                <w:kern w:val="0"/>
                <w:sz w:val="24"/>
              </w:rPr>
              <w:t>考</w:t>
            </w:r>
            <w:r>
              <w:rPr>
                <w:b/>
                <w:bCs/>
                <w:kern w:val="0"/>
                <w:sz w:val="24"/>
              </w:rPr>
              <w:t>   </w:t>
            </w:r>
            <w:r>
              <w:rPr>
                <w:rFonts w:hAnsi="宋体"/>
                <w:b/>
                <w:bCs/>
                <w:kern w:val="0"/>
                <w:sz w:val="24"/>
              </w:rPr>
              <w:t>试</w:t>
            </w:r>
            <w:r>
              <w:rPr>
                <w:b/>
                <w:bCs/>
                <w:kern w:val="0"/>
                <w:sz w:val="24"/>
              </w:rPr>
              <w:t>   </w:t>
            </w:r>
            <w:r>
              <w:rPr>
                <w:rFonts w:hAnsi="宋体"/>
                <w:b/>
                <w:bCs/>
                <w:kern w:val="0"/>
                <w:sz w:val="24"/>
              </w:rPr>
              <w:t>大</w:t>
            </w:r>
            <w:r>
              <w:rPr>
                <w:b/>
                <w:bCs/>
                <w:kern w:val="0"/>
                <w:sz w:val="24"/>
              </w:rPr>
              <w:t>   </w:t>
            </w:r>
            <w:r>
              <w:rPr>
                <w:rFonts w:hAnsi="宋体"/>
                <w:b/>
                <w:bCs/>
                <w:kern w:val="0"/>
                <w:sz w:val="24"/>
              </w:rPr>
              <w:t>纲</w:t>
            </w:r>
          </w:p>
          <w:p>
            <w:pPr>
              <w:widowControl/>
              <w:wordWrap w:val="0"/>
              <w:spacing w:line="460" w:lineRule="atLeast"/>
              <w:jc w:val="center"/>
              <w:rPr>
                <w:kern w:val="0"/>
                <w:sz w:val="24"/>
              </w:rPr>
            </w:pPr>
            <w:r>
              <w:rPr>
                <w:rFonts w:hAnsi="宋体"/>
                <w:kern w:val="0"/>
                <w:sz w:val="24"/>
              </w:rPr>
              <w:t>（提纲式列举本科目须考查的知识要点）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10" w:hRule="atLeast"/>
          <w:jc w:val="center"/>
        </w:trPr>
        <w:tc>
          <w:tcPr>
            <w:tcW w:w="900" w:type="dxa"/>
            <w:noWrap w:val="0"/>
            <w:tcMar>
              <w:top w:w="0" w:type="dxa"/>
              <w:left w:w="108" w:type="dxa"/>
              <w:bottom w:w="0" w:type="dxa"/>
              <w:right w:w="108" w:type="dxa"/>
            </w:tcMar>
            <w:vAlign w:val="center"/>
          </w:tcPr>
          <w:p>
            <w:pPr>
              <w:widowControl/>
              <w:wordWrap w:val="0"/>
              <w:spacing w:line="312" w:lineRule="auto"/>
              <w:jc w:val="center"/>
              <w:rPr>
                <w:rFonts w:hint="eastAsia"/>
                <w:kern w:val="0"/>
                <w:sz w:val="24"/>
              </w:rPr>
            </w:pPr>
            <w:r>
              <w:rPr>
                <w:rFonts w:hint="eastAsia"/>
                <w:kern w:val="0"/>
                <w:sz w:val="24"/>
              </w:rPr>
              <w:t>435</w:t>
            </w:r>
          </w:p>
        </w:tc>
        <w:tc>
          <w:tcPr>
            <w:tcW w:w="1465" w:type="dxa"/>
            <w:noWrap w:val="0"/>
            <w:tcMar>
              <w:top w:w="0" w:type="dxa"/>
              <w:left w:w="108" w:type="dxa"/>
              <w:bottom w:w="0" w:type="dxa"/>
              <w:right w:w="108" w:type="dxa"/>
            </w:tcMar>
            <w:vAlign w:val="center"/>
          </w:tcPr>
          <w:p>
            <w:pPr>
              <w:widowControl/>
              <w:wordWrap w:val="0"/>
              <w:spacing w:line="312" w:lineRule="auto"/>
              <w:jc w:val="center"/>
              <w:rPr>
                <w:rFonts w:hint="eastAsia"/>
                <w:kern w:val="0"/>
                <w:sz w:val="24"/>
              </w:rPr>
            </w:pPr>
            <w:r>
              <w:rPr>
                <w:rFonts w:hAnsi="宋体"/>
                <w:kern w:val="0"/>
                <w:sz w:val="24"/>
              </w:rPr>
              <w:t>保险</w:t>
            </w:r>
            <w:r>
              <w:rPr>
                <w:rFonts w:hint="eastAsia" w:hAnsi="宋体"/>
                <w:kern w:val="0"/>
                <w:sz w:val="24"/>
              </w:rPr>
              <w:t>专业基础</w:t>
            </w:r>
          </w:p>
        </w:tc>
        <w:tc>
          <w:tcPr>
            <w:tcW w:w="7070" w:type="dxa"/>
            <w:noWrap w:val="0"/>
            <w:tcMar>
              <w:top w:w="0" w:type="dxa"/>
              <w:left w:w="108" w:type="dxa"/>
              <w:bottom w:w="0" w:type="dxa"/>
              <w:right w:w="108" w:type="dxa"/>
            </w:tcMar>
            <w:vAlign w:val="top"/>
          </w:tcPr>
          <w:p>
            <w:pPr>
              <w:pStyle w:val="3"/>
              <w:spacing w:before="0" w:beforeLines="0" w:after="0" w:afterLines="0" w:line="360" w:lineRule="exact"/>
              <w:rPr>
                <w:kern w:val="0"/>
                <w:lang w:val="en-US" w:eastAsia="zh-CN"/>
              </w:rPr>
            </w:pPr>
            <w:r>
              <w:rPr>
                <w:rFonts w:hint="eastAsia"/>
                <w:kern w:val="0"/>
                <w:lang w:val="en-US" w:eastAsia="zh-CN"/>
              </w:rPr>
              <w:t>一、考试性质</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保险专业基础》是保险硕士专业学位研究生的入学考试科目，《保险专业基础》考试大纲根据保险硕士专业学位研究生的培养目标和了解考生对于保险学相关知识的掌握程度而制定。保险硕士专业学位研究生《保险专业基础》考试科目由保险学、人身保险、财产保险和利息理论组成。其中保险学占总分40%、人身保险占总分15%、财产保险占总分15%、利息理论占总分30%。保险硕士专业学位研究生《保险专业基础课》由学院按照本大纲列明的考试范围自行命题，考试满分为150分。</w:t>
            </w:r>
          </w:p>
          <w:p>
            <w:pPr>
              <w:pStyle w:val="3"/>
              <w:spacing w:before="0" w:beforeLines="0" w:after="0" w:afterLines="0" w:line="360" w:lineRule="exact"/>
              <w:rPr>
                <w:kern w:val="0"/>
                <w:lang w:val="en-US" w:eastAsia="zh-CN"/>
              </w:rPr>
            </w:pPr>
            <w:r>
              <w:rPr>
                <w:rFonts w:hint="eastAsia"/>
                <w:kern w:val="0"/>
                <w:lang w:val="en-US" w:eastAsia="zh-CN"/>
              </w:rPr>
              <w:t>二、考试要求</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测试考生对于与保险学、人身保险、财产保险和利息理论相关的基本概念、基础理论的掌握和运用能力。</w:t>
            </w:r>
          </w:p>
          <w:p>
            <w:pPr>
              <w:rPr>
                <w:rFonts w:hint="eastAsia" w:ascii="宋体" w:hAnsi="宋体" w:cs="宋体"/>
                <w:b/>
                <w:bCs/>
                <w:sz w:val="28"/>
                <w:szCs w:val="28"/>
              </w:rPr>
            </w:pPr>
            <w:r>
              <w:rPr>
                <w:rFonts w:hint="eastAsia" w:ascii="宋体" w:hAnsi="宋体" w:cs="宋体"/>
                <w:b/>
                <w:bCs/>
                <w:sz w:val="28"/>
                <w:szCs w:val="28"/>
              </w:rPr>
              <w:t>三、考试方式与分值</w:t>
            </w:r>
          </w:p>
          <w:p>
            <w:pPr>
              <w:pStyle w:val="3"/>
              <w:spacing w:before="0" w:beforeLines="0" w:after="0" w:afterLines="0"/>
              <w:ind w:firstLine="480" w:firstLineChars="200"/>
              <w:rPr>
                <w:rFonts w:hint="eastAsia" w:ascii="宋体" w:hAnsi="宋体" w:cs="宋体"/>
                <w:b w:val="0"/>
                <w:bCs w:val="0"/>
                <w:szCs w:val="28"/>
                <w:lang w:val="en-US" w:eastAsia="zh-CN"/>
              </w:rPr>
            </w:pPr>
            <w:r>
              <w:rPr>
                <w:rFonts w:hint="eastAsia" w:ascii="仿宋" w:hAnsi="仿宋" w:eastAsia="仿宋" w:cs="仿宋"/>
                <w:b w:val="0"/>
                <w:sz w:val="24"/>
                <w:lang w:val="en-US" w:eastAsia="zh-CN"/>
              </w:rPr>
              <w:t>1.本科目考试总分为1</w:t>
            </w:r>
            <w:r>
              <w:rPr>
                <w:rFonts w:ascii="仿宋" w:hAnsi="仿宋" w:eastAsia="仿宋" w:cs="仿宋"/>
                <w:b w:val="0"/>
                <w:sz w:val="24"/>
                <w:lang w:val="en-US" w:eastAsia="zh-CN"/>
              </w:rPr>
              <w:t>5</w:t>
            </w:r>
            <w:r>
              <w:rPr>
                <w:rFonts w:hint="eastAsia" w:ascii="仿宋" w:hAnsi="仿宋" w:eastAsia="仿宋" w:cs="仿宋"/>
                <w:b w:val="0"/>
                <w:sz w:val="24"/>
                <w:lang w:val="en-US" w:eastAsia="zh-CN"/>
              </w:rPr>
              <w:t xml:space="preserve">0分 </w:t>
            </w:r>
            <w:r>
              <w:rPr>
                <w:rFonts w:hint="eastAsia" w:ascii="宋体" w:hAnsi="宋体" w:cs="宋体"/>
                <w:b w:val="0"/>
                <w:bCs w:val="0"/>
                <w:szCs w:val="28"/>
                <w:lang w:val="en-US" w:eastAsia="zh-CN"/>
              </w:rPr>
              <w:t xml:space="preserve">  </w:t>
            </w:r>
          </w:p>
          <w:p>
            <w:pPr>
              <w:pStyle w:val="3"/>
              <w:spacing w:before="0" w:beforeLines="0" w:after="0" w:afterLines="0"/>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2.本科目考试题型有：</w:t>
            </w:r>
          </w:p>
          <w:p>
            <w:pPr>
              <w:ind w:firstLine="720" w:firstLineChars="300"/>
              <w:rPr>
                <w:rFonts w:hint="eastAsia" w:ascii="仿宋" w:hAnsi="仿宋" w:eastAsia="仿宋" w:cs="仿宋"/>
                <w:bCs/>
                <w:sz w:val="24"/>
                <w:szCs w:val="32"/>
              </w:rPr>
            </w:pPr>
            <w:r>
              <w:rPr>
                <w:rFonts w:hint="eastAsia" w:ascii="仿宋" w:hAnsi="仿宋" w:eastAsia="仿宋" w:cs="仿宋"/>
                <w:bCs/>
                <w:sz w:val="24"/>
                <w:szCs w:val="32"/>
              </w:rPr>
              <w:t>名称解释（约</w:t>
            </w:r>
            <w:r>
              <w:rPr>
                <w:rFonts w:ascii="仿宋" w:hAnsi="仿宋" w:eastAsia="仿宋" w:cs="仿宋"/>
                <w:bCs/>
                <w:sz w:val="24"/>
                <w:szCs w:val="32"/>
              </w:rPr>
              <w:t>15</w:t>
            </w:r>
            <w:r>
              <w:rPr>
                <w:rFonts w:hint="eastAsia" w:ascii="仿宋" w:hAnsi="仿宋" w:eastAsia="仿宋" w:cs="仿宋"/>
                <w:bCs/>
                <w:sz w:val="24"/>
                <w:szCs w:val="32"/>
              </w:rPr>
              <w:t>分）</w:t>
            </w:r>
          </w:p>
          <w:p>
            <w:pPr>
              <w:ind w:firstLine="720" w:firstLineChars="300"/>
              <w:rPr>
                <w:rFonts w:hint="eastAsia" w:ascii="仿宋" w:hAnsi="仿宋" w:eastAsia="仿宋" w:cs="仿宋"/>
                <w:bCs/>
                <w:sz w:val="24"/>
                <w:szCs w:val="32"/>
              </w:rPr>
            </w:pPr>
            <w:r>
              <w:rPr>
                <w:rFonts w:hint="eastAsia" w:ascii="仿宋" w:hAnsi="仿宋" w:eastAsia="仿宋" w:cs="仿宋"/>
                <w:bCs/>
                <w:sz w:val="24"/>
                <w:szCs w:val="32"/>
              </w:rPr>
              <w:t>选择题（约20分）</w:t>
            </w:r>
          </w:p>
          <w:p>
            <w:pPr>
              <w:ind w:firstLine="720" w:firstLineChars="300"/>
              <w:rPr>
                <w:rFonts w:hint="eastAsia" w:ascii="仿宋" w:hAnsi="仿宋" w:eastAsia="仿宋" w:cs="仿宋"/>
                <w:bCs/>
                <w:sz w:val="24"/>
                <w:szCs w:val="32"/>
              </w:rPr>
            </w:pPr>
            <w:r>
              <w:rPr>
                <w:rFonts w:hint="eastAsia" w:ascii="仿宋" w:hAnsi="仿宋" w:eastAsia="仿宋" w:cs="仿宋"/>
                <w:bCs/>
                <w:sz w:val="24"/>
                <w:szCs w:val="32"/>
              </w:rPr>
              <w:t>简答题（约</w:t>
            </w:r>
            <w:r>
              <w:rPr>
                <w:rFonts w:ascii="仿宋" w:hAnsi="仿宋" w:eastAsia="仿宋" w:cs="仿宋"/>
                <w:bCs/>
                <w:sz w:val="24"/>
                <w:szCs w:val="32"/>
              </w:rPr>
              <w:t>30</w:t>
            </w:r>
            <w:r>
              <w:rPr>
                <w:rFonts w:hint="eastAsia" w:ascii="仿宋" w:hAnsi="仿宋" w:eastAsia="仿宋" w:cs="仿宋"/>
                <w:bCs/>
                <w:sz w:val="24"/>
                <w:szCs w:val="32"/>
              </w:rPr>
              <w:t>分）</w:t>
            </w:r>
          </w:p>
          <w:p>
            <w:pPr>
              <w:ind w:firstLine="720" w:firstLineChars="300"/>
              <w:rPr>
                <w:rFonts w:hint="eastAsia" w:ascii="仿宋" w:hAnsi="仿宋" w:eastAsia="仿宋" w:cs="仿宋"/>
                <w:bCs/>
                <w:sz w:val="24"/>
                <w:szCs w:val="32"/>
              </w:rPr>
            </w:pPr>
            <w:r>
              <w:rPr>
                <w:rFonts w:hint="eastAsia" w:ascii="仿宋" w:hAnsi="仿宋" w:eastAsia="仿宋" w:cs="仿宋"/>
                <w:bCs/>
                <w:sz w:val="24"/>
                <w:szCs w:val="32"/>
              </w:rPr>
              <w:t>案例分析题（约20分）</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计算题（约</w:t>
            </w:r>
            <w:r>
              <w:rPr>
                <w:rFonts w:ascii="仿宋" w:hAnsi="仿宋" w:eastAsia="仿宋" w:cs="仿宋"/>
                <w:b w:val="0"/>
                <w:sz w:val="24"/>
                <w:lang w:val="en-US" w:eastAsia="zh-CN"/>
              </w:rPr>
              <w:t>5</w:t>
            </w:r>
            <w:r>
              <w:rPr>
                <w:rFonts w:hint="eastAsia" w:ascii="仿宋" w:hAnsi="仿宋" w:eastAsia="仿宋" w:cs="仿宋"/>
                <w:b w:val="0"/>
                <w:sz w:val="24"/>
                <w:lang w:val="en-US" w:eastAsia="zh-CN"/>
              </w:rPr>
              <w:t>0分）</w:t>
            </w:r>
          </w:p>
          <w:p>
            <w:pPr>
              <w:pStyle w:val="3"/>
              <w:spacing w:before="62" w:after="62"/>
              <w:ind w:firstLine="720" w:firstLineChars="300"/>
              <w:rPr>
                <w:rFonts w:hint="eastAsia" w:ascii="仿宋" w:hAnsi="仿宋" w:eastAsia="仿宋" w:cs="仿宋"/>
                <w:b w:val="0"/>
                <w:sz w:val="24"/>
                <w:lang w:val="en-US" w:eastAsia="zh-CN"/>
              </w:rPr>
            </w:pPr>
            <w:r>
              <w:rPr>
                <w:rFonts w:hint="eastAsia" w:ascii="仿宋" w:hAnsi="仿宋" w:eastAsia="仿宋" w:cs="仿宋"/>
                <w:b w:val="0"/>
                <w:sz w:val="24"/>
                <w:lang w:val="en-US" w:eastAsia="zh-CN"/>
              </w:rPr>
              <w:t>论述题（约</w:t>
            </w:r>
            <w:r>
              <w:rPr>
                <w:rFonts w:ascii="仿宋" w:hAnsi="仿宋" w:eastAsia="仿宋" w:cs="仿宋"/>
                <w:b w:val="0"/>
                <w:sz w:val="24"/>
                <w:lang w:val="en-US" w:eastAsia="zh-CN"/>
              </w:rPr>
              <w:t>15</w:t>
            </w:r>
            <w:r>
              <w:rPr>
                <w:rFonts w:hint="eastAsia" w:ascii="仿宋" w:hAnsi="仿宋" w:eastAsia="仿宋" w:cs="仿宋"/>
                <w:b w:val="0"/>
                <w:sz w:val="24"/>
                <w:lang w:val="en-US" w:eastAsia="zh-CN"/>
              </w:rPr>
              <w:t>分）</w:t>
            </w:r>
          </w:p>
          <w:p>
            <w:pPr>
              <w:pStyle w:val="3"/>
              <w:spacing w:before="62" w:after="62"/>
              <w:ind w:firstLine="480" w:firstLineChars="200"/>
              <w:rPr>
                <w:rFonts w:hint="eastAsia" w:ascii="仿宋" w:hAnsi="仿宋" w:eastAsia="仿宋" w:cs="仿宋"/>
                <w:b w:val="0"/>
                <w:sz w:val="24"/>
                <w:lang w:val="en-US" w:eastAsia="zh-CN"/>
              </w:rPr>
            </w:pPr>
            <w:r>
              <w:rPr>
                <w:rFonts w:hint="eastAsia" w:ascii="仿宋" w:hAnsi="仿宋" w:eastAsia="仿宋" w:cs="仿宋"/>
                <w:b w:val="0"/>
                <w:sz w:val="24"/>
                <w:lang w:val="en-US" w:eastAsia="zh-CN"/>
              </w:rPr>
              <w:t>题型与分数分布可以视情况微调。</w:t>
            </w:r>
          </w:p>
          <w:p>
            <w:pPr>
              <w:pStyle w:val="3"/>
              <w:spacing w:before="0" w:beforeLines="0" w:after="0" w:afterLines="0" w:line="360" w:lineRule="exact"/>
              <w:rPr>
                <w:kern w:val="0"/>
                <w:lang w:val="en-US" w:eastAsia="zh-CN"/>
              </w:rPr>
            </w:pPr>
            <w:r>
              <w:rPr>
                <w:rFonts w:hint="eastAsia"/>
                <w:kern w:val="0"/>
                <w:lang w:val="en-US" w:eastAsia="zh-CN"/>
              </w:rPr>
              <w:t>四、考试内容</w:t>
            </w:r>
          </w:p>
          <w:p>
            <w:pPr>
              <w:spacing w:line="360" w:lineRule="exact"/>
              <w:ind w:firstLine="482" w:firstLineChars="200"/>
              <w:rPr>
                <w:rFonts w:hint="eastAsia" w:ascii="仿宋" w:hAnsi="仿宋" w:eastAsia="仿宋"/>
                <w:b/>
                <w:color w:val="000000"/>
                <w:sz w:val="24"/>
              </w:rPr>
            </w:pPr>
            <w:r>
              <w:rPr>
                <w:rFonts w:hint="eastAsia" w:ascii="仿宋" w:hAnsi="仿宋" w:eastAsia="仿宋"/>
                <w:b/>
                <w:color w:val="000000"/>
                <w:sz w:val="24"/>
              </w:rPr>
              <w:t>第一部分　保险学</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（一）风险管理与保险</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1．风险的含义与度量；风险的构成要素、特征及其分类</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2．风险管理的定义、起源；风险管理的目标、基本程序、风险管理技术方法；可保风险的要件；风险管理与保险的关系</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3. 保险学说、保险的定义、特性、分类与发展历史</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4. 保险的职能作用</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（二）保险合同</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1．保险合同的法律要求，保险合同的基本特征</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2．保险合同的形式与组成部分</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3．保险合同要素</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4．保险合同的订立、生效和履行</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5．保险合同的变更、终止</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6. 保险合同的解释原则与争议处理</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（三）保险的基本原则</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1．可保利益原则</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2．最大诚信原则</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3．近因原则</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4．损失补偿原则及其派生原则</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（四）保险经营</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1．保险经营的特征与原则</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2. 保险费率</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3. 保险展业与承保</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4. 保险防灾与理赔</w:t>
            </w:r>
          </w:p>
          <w:p>
            <w:pPr>
              <w:widowControl/>
              <w:spacing w:line="360" w:lineRule="exact"/>
              <w:ind w:firstLine="480" w:firstLineChars="200"/>
              <w:rPr>
                <w:rFonts w:ascii="仿宋" w:hAnsi="仿宋" w:eastAsia="仿宋" w:cs="宋体"/>
                <w:kern w:val="0"/>
                <w:sz w:val="24"/>
              </w:rPr>
            </w:pPr>
            <w:r>
              <w:rPr>
                <w:rFonts w:hint="eastAsia" w:ascii="仿宋" w:hAnsi="仿宋" w:eastAsia="仿宋" w:cs="宋体"/>
                <w:kern w:val="0"/>
                <w:sz w:val="24"/>
              </w:rPr>
              <w:t>5. 再保险</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6. 保险投资</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（五）保险市场与监管</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1. 保险市场的概念、特征、要素与模式</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2. 保险市场的供给与需求</w:t>
            </w:r>
          </w:p>
          <w:p>
            <w:pPr>
              <w:widowControl/>
              <w:spacing w:line="360" w:lineRule="exact"/>
              <w:ind w:firstLine="480" w:firstLineChars="200"/>
              <w:rPr>
                <w:rFonts w:hint="eastAsia" w:ascii="仿宋" w:hAnsi="仿宋" w:eastAsia="仿宋" w:cs="宋体"/>
                <w:kern w:val="0"/>
                <w:sz w:val="24"/>
              </w:rPr>
            </w:pPr>
            <w:r>
              <w:rPr>
                <w:rFonts w:hint="eastAsia" w:ascii="仿宋" w:hAnsi="仿宋" w:eastAsia="仿宋" w:cs="宋体"/>
                <w:kern w:val="0"/>
                <w:sz w:val="24"/>
              </w:rPr>
              <w:t>3. 保险监管的含义与原因、保险监管目标、方式与内容</w:t>
            </w:r>
          </w:p>
          <w:p>
            <w:pPr>
              <w:widowControl/>
              <w:spacing w:line="360" w:lineRule="exact"/>
              <w:ind w:firstLine="482" w:firstLineChars="200"/>
              <w:rPr>
                <w:rFonts w:hint="eastAsia" w:ascii="仿宋" w:hAnsi="仿宋" w:eastAsia="仿宋" w:cs="Arial"/>
                <w:b/>
                <w:bCs/>
                <w:color w:val="000000"/>
                <w:kern w:val="0"/>
                <w:sz w:val="24"/>
              </w:rPr>
            </w:pPr>
          </w:p>
          <w:p>
            <w:pPr>
              <w:widowControl/>
              <w:spacing w:line="360" w:lineRule="exact"/>
              <w:ind w:firstLine="482" w:firstLineChars="200"/>
              <w:rPr>
                <w:rFonts w:ascii="仿宋" w:hAnsi="仿宋" w:eastAsia="仿宋" w:cs="Arial"/>
                <w:color w:val="000000"/>
                <w:kern w:val="0"/>
                <w:sz w:val="24"/>
              </w:rPr>
            </w:pPr>
            <w:r>
              <w:rPr>
                <w:rFonts w:hint="eastAsia" w:ascii="仿宋" w:hAnsi="仿宋" w:eastAsia="仿宋" w:cs="Arial"/>
                <w:b/>
                <w:bCs/>
                <w:color w:val="000000"/>
                <w:kern w:val="0"/>
                <w:sz w:val="24"/>
              </w:rPr>
              <w:t>第二部分　人身保险</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（一）人身保险</w:t>
            </w:r>
            <w:r>
              <w:rPr>
                <w:rFonts w:ascii="仿宋" w:hAnsi="仿宋" w:eastAsia="仿宋" w:cs="Arial"/>
                <w:kern w:val="0"/>
                <w:sz w:val="24"/>
              </w:rPr>
              <w:t>概述</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1．人身保险</w:t>
            </w:r>
            <w:r>
              <w:rPr>
                <w:rFonts w:ascii="仿宋" w:hAnsi="仿宋" w:eastAsia="仿宋" w:cs="Arial"/>
                <w:kern w:val="0"/>
                <w:sz w:val="24"/>
              </w:rPr>
              <w:t>的相关概念和特征</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2．人身保险</w:t>
            </w:r>
            <w:r>
              <w:rPr>
                <w:rFonts w:ascii="仿宋" w:hAnsi="仿宋" w:eastAsia="仿宋" w:cs="Arial"/>
                <w:kern w:val="0"/>
                <w:sz w:val="24"/>
              </w:rPr>
              <w:t>的分类</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3．人身保险</w:t>
            </w:r>
            <w:r>
              <w:rPr>
                <w:rFonts w:ascii="仿宋" w:hAnsi="仿宋" w:eastAsia="仿宋" w:cs="Arial"/>
                <w:kern w:val="0"/>
                <w:sz w:val="24"/>
              </w:rPr>
              <w:t>的功能</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（二）人身保险合同</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1. 人身保险合同概述</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2. 人身保险合同的构成要素</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3. 人身保险合同的订立、变更与终止</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4. 人身保险合同的履行与争议处理</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（三）人寿保险</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1. 人寿保险的概念及特点</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2. 人寿保险的类别</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3. 人寿保险常用条款</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w:t>
            </w:r>
            <w:r>
              <w:rPr>
                <w:rFonts w:ascii="仿宋" w:hAnsi="仿宋" w:eastAsia="仿宋" w:cs="Arial"/>
                <w:kern w:val="0"/>
                <w:sz w:val="24"/>
              </w:rPr>
              <w:t>四</w:t>
            </w:r>
            <w:r>
              <w:rPr>
                <w:rFonts w:hint="eastAsia" w:ascii="仿宋" w:hAnsi="仿宋" w:eastAsia="仿宋" w:cs="Arial"/>
                <w:kern w:val="0"/>
                <w:sz w:val="24"/>
              </w:rPr>
              <w:t>）人</w:t>
            </w:r>
            <w:r>
              <w:rPr>
                <w:rFonts w:ascii="仿宋" w:hAnsi="仿宋" w:eastAsia="仿宋" w:cs="Arial"/>
                <w:kern w:val="0"/>
                <w:sz w:val="24"/>
              </w:rPr>
              <w:t>寿</w:t>
            </w:r>
            <w:r>
              <w:rPr>
                <w:rFonts w:hint="eastAsia" w:ascii="仿宋" w:hAnsi="仿宋" w:eastAsia="仿宋" w:cs="Arial"/>
                <w:kern w:val="0"/>
                <w:sz w:val="24"/>
              </w:rPr>
              <w:t>保险</w:t>
            </w:r>
            <w:r>
              <w:rPr>
                <w:rFonts w:ascii="仿宋" w:hAnsi="仿宋" w:eastAsia="仿宋" w:cs="Arial"/>
                <w:kern w:val="0"/>
                <w:sz w:val="24"/>
              </w:rPr>
              <w:t>实务</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1．传统人寿保险的概念、特点及种类</w:t>
            </w:r>
          </w:p>
          <w:p>
            <w:pPr>
              <w:widowControl/>
              <w:spacing w:line="360" w:lineRule="exact"/>
              <w:ind w:firstLine="480" w:firstLineChars="200"/>
              <w:rPr>
                <w:rFonts w:hint="eastAsia" w:ascii="仿宋" w:hAnsi="仿宋" w:eastAsia="仿宋" w:cs="Arial"/>
                <w:kern w:val="0"/>
                <w:sz w:val="24"/>
              </w:rPr>
            </w:pPr>
            <w:r>
              <w:rPr>
                <w:rFonts w:ascii="仿宋" w:hAnsi="仿宋" w:eastAsia="仿宋" w:cs="Arial"/>
                <w:kern w:val="0"/>
                <w:sz w:val="24"/>
              </w:rPr>
              <w:t xml:space="preserve">2. </w:t>
            </w:r>
            <w:r>
              <w:rPr>
                <w:rFonts w:hint="eastAsia" w:ascii="仿宋" w:hAnsi="仿宋" w:eastAsia="仿宋" w:cs="Arial"/>
                <w:kern w:val="0"/>
                <w:sz w:val="24"/>
              </w:rPr>
              <w:t>创新型人寿保险</w:t>
            </w:r>
            <w:r>
              <w:rPr>
                <w:rFonts w:ascii="仿宋" w:hAnsi="仿宋" w:eastAsia="仿宋" w:cs="Arial"/>
                <w:kern w:val="0"/>
                <w:sz w:val="24"/>
              </w:rPr>
              <w:t>的</w:t>
            </w:r>
            <w:r>
              <w:rPr>
                <w:rFonts w:hint="eastAsia" w:ascii="仿宋" w:hAnsi="仿宋" w:eastAsia="仿宋" w:cs="Arial"/>
                <w:kern w:val="0"/>
                <w:sz w:val="24"/>
              </w:rPr>
              <w:t>概念、特点及种类</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（五）人身意外伤害保险</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1. 人身意外伤害保险的含义及其分类</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2. 人身意外伤害保险的特征</w:t>
            </w:r>
          </w:p>
          <w:p>
            <w:pPr>
              <w:widowControl/>
              <w:spacing w:line="360" w:lineRule="exact"/>
              <w:ind w:firstLine="480" w:firstLineChars="200"/>
              <w:rPr>
                <w:rFonts w:hint="eastAsia" w:ascii="仿宋" w:hAnsi="仿宋" w:eastAsia="仿宋" w:cs="Arial"/>
                <w:kern w:val="0"/>
                <w:sz w:val="24"/>
              </w:rPr>
            </w:pPr>
            <w:r>
              <w:rPr>
                <w:rFonts w:ascii="仿宋" w:hAnsi="仿宋" w:eastAsia="仿宋" w:cs="Arial"/>
                <w:kern w:val="0"/>
                <w:sz w:val="24"/>
              </w:rPr>
              <w:t>3. 意外伤害保险的保险责任及给付方式</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（六）健康保险</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1</w:t>
            </w:r>
            <w:r>
              <w:rPr>
                <w:rFonts w:hint="eastAsia" w:ascii="仿宋" w:hAnsi="仿宋" w:eastAsia="仿宋" w:cs="Arial"/>
                <w:kern w:val="0"/>
                <w:sz w:val="24"/>
              </w:rPr>
              <w:t>．健康保险</w:t>
            </w:r>
            <w:r>
              <w:rPr>
                <w:rFonts w:ascii="仿宋" w:hAnsi="仿宋" w:eastAsia="仿宋" w:cs="Arial"/>
                <w:kern w:val="0"/>
                <w:sz w:val="24"/>
              </w:rPr>
              <w:t>概述</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2. 商业健康保险的类别</w:t>
            </w:r>
          </w:p>
          <w:p>
            <w:pPr>
              <w:widowControl/>
              <w:spacing w:line="360" w:lineRule="exact"/>
              <w:ind w:firstLine="480" w:firstLineChars="200"/>
              <w:rPr>
                <w:rFonts w:ascii="仿宋" w:hAnsi="仿宋" w:eastAsia="仿宋" w:cs="Arial"/>
                <w:kern w:val="0"/>
                <w:sz w:val="24"/>
              </w:rPr>
            </w:pPr>
            <w:r>
              <w:rPr>
                <w:rFonts w:ascii="仿宋" w:hAnsi="仿宋" w:eastAsia="仿宋" w:cs="Arial"/>
                <w:kern w:val="0"/>
                <w:sz w:val="24"/>
              </w:rPr>
              <w:t>3. 健康保险常用条款</w:t>
            </w:r>
          </w:p>
          <w:p>
            <w:pPr>
              <w:spacing w:line="360" w:lineRule="exact"/>
              <w:ind w:firstLine="482" w:firstLineChars="200"/>
              <w:rPr>
                <w:rFonts w:hint="eastAsia" w:ascii="仿宋" w:hAnsi="仿宋" w:eastAsia="仿宋"/>
                <w:b/>
                <w:color w:val="000000"/>
                <w:sz w:val="24"/>
              </w:rPr>
            </w:pPr>
          </w:p>
          <w:p>
            <w:pPr>
              <w:spacing w:line="360" w:lineRule="exact"/>
              <w:ind w:firstLine="482" w:firstLineChars="200"/>
              <w:rPr>
                <w:rFonts w:ascii="仿宋" w:hAnsi="仿宋" w:eastAsia="仿宋"/>
                <w:b/>
                <w:color w:val="000000"/>
                <w:sz w:val="24"/>
              </w:rPr>
            </w:pPr>
            <w:r>
              <w:rPr>
                <w:rFonts w:hint="eastAsia" w:ascii="仿宋" w:hAnsi="仿宋" w:eastAsia="仿宋"/>
                <w:b/>
                <w:color w:val="000000"/>
                <w:sz w:val="24"/>
              </w:rPr>
              <w:t>第三部分　财产保险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（一）财产保险概述</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1. 财产保险及其业务体系</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2. 财产保险特征</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（二）火灾保险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1．概念与特点</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2. 企业财产保险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3. 家庭财产保险</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（三）机动车辆保险</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1．交强险</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2．商业车险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（四）货物运输保险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1. 概念与特点</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2. 海洋货物运输保险</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（五）责任保险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1．概念、特征、作用</w:t>
            </w:r>
          </w:p>
          <w:p>
            <w:pPr>
              <w:widowControl/>
              <w:spacing w:line="360" w:lineRule="exact"/>
              <w:ind w:firstLine="480" w:firstLineChars="200"/>
              <w:rPr>
                <w:rFonts w:ascii="仿宋" w:hAnsi="仿宋" w:eastAsia="仿宋" w:cs="Arial"/>
                <w:kern w:val="0"/>
                <w:sz w:val="24"/>
              </w:rPr>
            </w:pPr>
            <w:r>
              <w:rPr>
                <w:rFonts w:hint="eastAsia" w:ascii="仿宋" w:hAnsi="仿宋" w:eastAsia="仿宋"/>
                <w:kern w:val="0"/>
                <w:sz w:val="24"/>
              </w:rPr>
              <w:t xml:space="preserve">2. </w:t>
            </w:r>
            <w:r>
              <w:rPr>
                <w:rFonts w:ascii="仿宋" w:hAnsi="仿宋" w:eastAsia="仿宋"/>
                <w:kern w:val="0"/>
                <w:sz w:val="24"/>
              </w:rPr>
              <w:t>责任保险</w:t>
            </w:r>
            <w:r>
              <w:rPr>
                <w:rFonts w:hint="eastAsia" w:ascii="仿宋" w:hAnsi="仿宋" w:eastAsia="仿宋"/>
                <w:kern w:val="0"/>
                <w:sz w:val="24"/>
              </w:rPr>
              <w:t>承保的民事法律责任与承保基础</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3．公众责任保险、产品责任保险、职业责任保险、雇主责任保险的概念</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（六）信用保险与保证保险</w:t>
            </w:r>
          </w:p>
          <w:p>
            <w:pPr>
              <w:widowControl/>
              <w:spacing w:line="360" w:lineRule="exact"/>
              <w:ind w:firstLine="480" w:firstLineChars="200"/>
              <w:rPr>
                <w:rFonts w:hint="eastAsia" w:ascii="仿宋" w:hAnsi="仿宋" w:eastAsia="仿宋" w:cs="Arial"/>
                <w:kern w:val="0"/>
                <w:sz w:val="24"/>
              </w:rPr>
            </w:pPr>
            <w:r>
              <w:rPr>
                <w:rFonts w:hint="eastAsia" w:ascii="仿宋" w:hAnsi="仿宋" w:eastAsia="仿宋" w:cs="Arial"/>
                <w:kern w:val="0"/>
                <w:sz w:val="24"/>
              </w:rPr>
              <w:t>1. 信用保险的含义、作用与种类</w:t>
            </w:r>
          </w:p>
          <w:p>
            <w:pPr>
              <w:widowControl/>
              <w:spacing w:line="360" w:lineRule="exact"/>
              <w:ind w:firstLine="480" w:firstLineChars="200"/>
              <w:rPr>
                <w:rFonts w:ascii="仿宋" w:hAnsi="仿宋" w:eastAsia="仿宋" w:cs="Arial"/>
                <w:kern w:val="0"/>
                <w:sz w:val="24"/>
              </w:rPr>
            </w:pPr>
            <w:r>
              <w:rPr>
                <w:rFonts w:hint="eastAsia" w:ascii="仿宋" w:hAnsi="仿宋" w:eastAsia="仿宋" w:cs="Arial"/>
                <w:kern w:val="0"/>
                <w:sz w:val="24"/>
              </w:rPr>
              <w:t>2. 保证保险的含义、特点与种类</w:t>
            </w:r>
          </w:p>
          <w:p>
            <w:pPr>
              <w:spacing w:line="360" w:lineRule="exact"/>
              <w:ind w:firstLine="482" w:firstLineChars="200"/>
              <w:rPr>
                <w:rFonts w:ascii="仿宋" w:hAnsi="仿宋" w:eastAsia="仿宋"/>
                <w:b/>
                <w:color w:val="000000"/>
                <w:sz w:val="24"/>
              </w:rPr>
            </w:pPr>
            <w:r>
              <w:rPr>
                <w:rFonts w:hint="eastAsia" w:ascii="仿宋" w:hAnsi="仿宋" w:eastAsia="仿宋"/>
                <w:b/>
                <w:color w:val="000000"/>
                <w:sz w:val="24"/>
              </w:rPr>
              <w:t>第四部分　利息理论</w:t>
            </w:r>
          </w:p>
          <w:p>
            <w:pPr>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1.实际利率、实际贴现率、名义利率、名义贴现率、利息强度</w:t>
            </w:r>
          </w:p>
          <w:p>
            <w:pPr>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2.年金标准型</w:t>
            </w:r>
          </w:p>
          <w:p>
            <w:pPr>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3.收益率、再投资收益率、基金收益率、时间加权收益率</w:t>
            </w:r>
          </w:p>
          <w:p>
            <w:pPr>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4.分期偿还计划与偿债基金</w:t>
            </w:r>
          </w:p>
          <w:p>
            <w:pPr>
              <w:spacing w:line="288" w:lineRule="auto"/>
              <w:ind w:firstLine="480" w:firstLineChars="200"/>
              <w:rPr>
                <w:rFonts w:hint="eastAsia" w:ascii="仿宋" w:hAnsi="仿宋" w:eastAsia="仿宋" w:cs="Arial"/>
                <w:kern w:val="0"/>
                <w:sz w:val="24"/>
              </w:rPr>
            </w:pPr>
            <w:r>
              <w:rPr>
                <w:rFonts w:hint="eastAsia" w:ascii="仿宋" w:hAnsi="仿宋" w:eastAsia="仿宋" w:cs="Arial"/>
                <w:kern w:val="0"/>
                <w:sz w:val="24"/>
              </w:rPr>
              <w:t>5.债券价格、溢价与折价</w:t>
            </w:r>
          </w:p>
          <w:p>
            <w:pPr>
              <w:widowControl/>
              <w:spacing w:line="360" w:lineRule="exact"/>
              <w:ind w:firstLine="480" w:firstLineChars="200"/>
              <w:rPr>
                <w:rFonts w:ascii="仿宋" w:hAnsi="仿宋" w:eastAsia="仿宋" w:cs="Arial"/>
                <w:kern w:val="0"/>
                <w:sz w:val="24"/>
              </w:rPr>
            </w:pPr>
          </w:p>
          <w:p>
            <w:pPr>
              <w:spacing w:line="360" w:lineRule="exact"/>
              <w:ind w:firstLine="482" w:firstLineChars="200"/>
              <w:rPr>
                <w:rFonts w:hint="eastAsia" w:ascii="仿宋" w:hAnsi="仿宋" w:eastAsia="仿宋"/>
                <w:b/>
                <w:color w:val="000000"/>
                <w:sz w:val="24"/>
              </w:rPr>
            </w:pPr>
            <w:r>
              <w:rPr>
                <w:rFonts w:hint="eastAsia" w:ascii="仿宋" w:hAnsi="仿宋" w:eastAsia="仿宋"/>
                <w:b/>
                <w:color w:val="000000"/>
                <w:sz w:val="24"/>
              </w:rPr>
              <w:t xml:space="preserve">建议参考教材： </w:t>
            </w:r>
          </w:p>
          <w:p>
            <w:pPr>
              <w:widowControl/>
              <w:spacing w:line="360" w:lineRule="exact"/>
              <w:ind w:firstLine="480" w:firstLineChars="200"/>
              <w:rPr>
                <w:rFonts w:hint="eastAsia" w:ascii="仿宋" w:hAnsi="仿宋" w:eastAsia="仿宋"/>
                <w:kern w:val="0"/>
                <w:sz w:val="24"/>
              </w:rPr>
            </w:pPr>
            <w:r>
              <w:rPr>
                <w:rFonts w:hint="eastAsia" w:ascii="仿宋" w:hAnsi="仿宋" w:eastAsia="仿宋"/>
                <w:kern w:val="0"/>
                <w:sz w:val="24"/>
              </w:rPr>
              <w:t>1.</w:t>
            </w:r>
            <w:r>
              <w:rPr>
                <w:rFonts w:ascii="仿宋" w:hAnsi="仿宋" w:eastAsia="仿宋"/>
                <w:kern w:val="0"/>
                <w:sz w:val="24"/>
              </w:rPr>
              <w:t>《保险学</w:t>
            </w:r>
            <w:r>
              <w:rPr>
                <w:rFonts w:hint="eastAsia" w:ascii="仿宋" w:hAnsi="仿宋" w:eastAsia="仿宋"/>
                <w:kern w:val="0"/>
                <w:sz w:val="24"/>
              </w:rPr>
              <w:t>原理</w:t>
            </w:r>
            <w:r>
              <w:rPr>
                <w:rFonts w:ascii="仿宋" w:hAnsi="仿宋" w:eastAsia="仿宋"/>
                <w:kern w:val="0"/>
                <w:sz w:val="24"/>
              </w:rPr>
              <w:t>》，张虹</w:t>
            </w:r>
            <w:r>
              <w:rPr>
                <w:rFonts w:hint="eastAsia" w:ascii="仿宋" w:hAnsi="仿宋" w:eastAsia="仿宋"/>
                <w:kern w:val="0"/>
                <w:sz w:val="24"/>
              </w:rPr>
              <w:t xml:space="preserve"> </w:t>
            </w:r>
            <w:r>
              <w:rPr>
                <w:rFonts w:ascii="仿宋" w:hAnsi="仿宋" w:eastAsia="仿宋"/>
                <w:kern w:val="0"/>
                <w:sz w:val="24"/>
              </w:rPr>
              <w:t>陈迪红主编</w:t>
            </w:r>
            <w:r>
              <w:rPr>
                <w:rFonts w:hint="eastAsia" w:ascii="仿宋" w:hAnsi="仿宋" w:eastAsia="仿宋"/>
                <w:kern w:val="0"/>
                <w:sz w:val="24"/>
              </w:rPr>
              <w:t>，清华大学</w:t>
            </w:r>
            <w:r>
              <w:rPr>
                <w:rFonts w:ascii="仿宋" w:hAnsi="仿宋" w:eastAsia="仿宋"/>
                <w:kern w:val="0"/>
                <w:sz w:val="24"/>
              </w:rPr>
              <w:t>出版社</w:t>
            </w:r>
            <w:r>
              <w:rPr>
                <w:rFonts w:hint="eastAsia" w:ascii="仿宋" w:hAnsi="仿宋" w:eastAsia="仿宋"/>
                <w:kern w:val="0"/>
                <w:sz w:val="24"/>
              </w:rPr>
              <w:t>，2018年版</w:t>
            </w:r>
          </w:p>
          <w:p>
            <w:pPr>
              <w:widowControl/>
              <w:spacing w:line="360" w:lineRule="exact"/>
              <w:ind w:firstLine="480" w:firstLineChars="200"/>
              <w:rPr>
                <w:rFonts w:hint="eastAsia" w:ascii="仿宋" w:hAnsi="仿宋" w:eastAsia="仿宋"/>
                <w:kern w:val="0"/>
                <w:sz w:val="24"/>
              </w:rPr>
            </w:pPr>
            <w:r>
              <w:rPr>
                <w:rFonts w:hint="eastAsia" w:ascii="仿宋" w:hAnsi="仿宋" w:eastAsia="仿宋"/>
                <w:kern w:val="0"/>
                <w:sz w:val="24"/>
              </w:rPr>
              <w:t>2.</w:t>
            </w:r>
            <w:r>
              <w:rPr>
                <w:rFonts w:ascii="仿宋" w:hAnsi="仿宋" w:eastAsia="仿宋"/>
                <w:kern w:val="0"/>
                <w:sz w:val="24"/>
              </w:rPr>
              <w:t>《</w:t>
            </w:r>
            <w:r>
              <w:rPr>
                <w:rFonts w:hint="eastAsia" w:ascii="仿宋" w:hAnsi="仿宋" w:eastAsia="仿宋"/>
                <w:kern w:val="0"/>
                <w:sz w:val="24"/>
              </w:rPr>
              <w:t>人寿与健康保险</w:t>
            </w:r>
            <w:r>
              <w:rPr>
                <w:rFonts w:ascii="仿宋" w:hAnsi="仿宋" w:eastAsia="仿宋"/>
                <w:kern w:val="0"/>
                <w:sz w:val="24"/>
              </w:rPr>
              <w:t>》(第三版），刘金章、王晓珊</w:t>
            </w:r>
            <w:r>
              <w:rPr>
                <w:rFonts w:hint="eastAsia" w:ascii="仿宋" w:hAnsi="仿宋" w:eastAsia="仿宋"/>
                <w:kern w:val="0"/>
                <w:sz w:val="24"/>
              </w:rPr>
              <w:t>编</w:t>
            </w:r>
            <w:r>
              <w:rPr>
                <w:rFonts w:ascii="仿宋" w:hAnsi="仿宋" w:eastAsia="仿宋"/>
                <w:kern w:val="0"/>
                <w:sz w:val="24"/>
              </w:rPr>
              <w:t>著</w:t>
            </w:r>
            <w:r>
              <w:rPr>
                <w:rFonts w:hint="eastAsia" w:ascii="仿宋" w:hAnsi="仿宋" w:eastAsia="仿宋"/>
                <w:kern w:val="0"/>
                <w:sz w:val="24"/>
              </w:rPr>
              <w:t>，</w:t>
            </w:r>
            <w:r>
              <w:rPr>
                <w:rFonts w:ascii="仿宋" w:hAnsi="仿宋" w:eastAsia="仿宋"/>
                <w:kern w:val="0"/>
                <w:sz w:val="24"/>
              </w:rPr>
              <w:t>清华</w:t>
            </w:r>
            <w:r>
              <w:rPr>
                <w:rFonts w:hint="eastAsia" w:ascii="仿宋" w:hAnsi="仿宋" w:eastAsia="仿宋"/>
                <w:kern w:val="0"/>
                <w:sz w:val="24"/>
              </w:rPr>
              <w:t>大学出版社</w:t>
            </w:r>
            <w:r>
              <w:rPr>
                <w:rFonts w:ascii="仿宋" w:hAnsi="仿宋" w:eastAsia="仿宋"/>
                <w:kern w:val="0"/>
                <w:sz w:val="24"/>
              </w:rPr>
              <w:t>，</w:t>
            </w:r>
            <w:r>
              <w:rPr>
                <w:rFonts w:hint="eastAsia" w:ascii="仿宋" w:hAnsi="仿宋" w:eastAsia="仿宋"/>
                <w:kern w:val="0"/>
                <w:sz w:val="24"/>
              </w:rPr>
              <w:t>20</w:t>
            </w:r>
            <w:r>
              <w:rPr>
                <w:rFonts w:ascii="仿宋" w:hAnsi="仿宋" w:eastAsia="仿宋"/>
                <w:kern w:val="0"/>
                <w:sz w:val="24"/>
              </w:rPr>
              <w:t>19年</w:t>
            </w:r>
            <w:r>
              <w:rPr>
                <w:rFonts w:hint="eastAsia" w:ascii="仿宋" w:hAnsi="仿宋" w:eastAsia="仿宋"/>
                <w:kern w:val="0"/>
                <w:sz w:val="24"/>
              </w:rPr>
              <w:t>版</w:t>
            </w:r>
          </w:p>
          <w:p>
            <w:pPr>
              <w:widowControl/>
              <w:spacing w:line="360" w:lineRule="exact"/>
              <w:ind w:firstLine="480" w:firstLineChars="200"/>
              <w:rPr>
                <w:rFonts w:hint="eastAsia" w:ascii="仿宋" w:hAnsi="仿宋" w:eastAsia="仿宋"/>
                <w:kern w:val="0"/>
                <w:sz w:val="24"/>
              </w:rPr>
            </w:pPr>
            <w:r>
              <w:rPr>
                <w:rFonts w:hint="eastAsia" w:ascii="仿宋" w:hAnsi="仿宋" w:eastAsia="仿宋"/>
                <w:kern w:val="0"/>
                <w:sz w:val="24"/>
              </w:rPr>
              <w:t>3.《财产保险原理和实务》(第五版)，许谨良主编，上海财经大学出版社，2015年版</w:t>
            </w:r>
          </w:p>
          <w:p>
            <w:pPr>
              <w:widowControl/>
              <w:spacing w:line="360" w:lineRule="exact"/>
              <w:ind w:firstLine="480" w:firstLineChars="200"/>
              <w:rPr>
                <w:rFonts w:ascii="仿宋" w:hAnsi="仿宋" w:eastAsia="仿宋" w:cs="Arial"/>
                <w:color w:val="000000"/>
                <w:kern w:val="0"/>
                <w:sz w:val="24"/>
              </w:rPr>
            </w:pPr>
            <w:r>
              <w:rPr>
                <w:rFonts w:hint="eastAsia" w:ascii="仿宋" w:hAnsi="仿宋" w:eastAsia="仿宋"/>
                <w:kern w:val="0"/>
                <w:sz w:val="24"/>
              </w:rPr>
              <w:t>4.</w:t>
            </w:r>
            <w:r>
              <w:rPr>
                <w:rFonts w:ascii="仿宋" w:hAnsi="仿宋" w:eastAsia="仿宋" w:cs="Arial"/>
                <w:color w:val="000000"/>
                <w:kern w:val="0"/>
                <w:sz w:val="24"/>
              </w:rPr>
              <w:t>《金融数学》</w:t>
            </w:r>
            <w:r>
              <w:rPr>
                <w:rFonts w:hint="eastAsia" w:ascii="仿宋" w:hAnsi="仿宋" w:eastAsia="仿宋" w:cs="Arial"/>
                <w:color w:val="000000"/>
                <w:kern w:val="0"/>
                <w:sz w:val="24"/>
              </w:rPr>
              <w:t>，</w:t>
            </w:r>
            <w:r>
              <w:rPr>
                <w:rFonts w:ascii="仿宋" w:hAnsi="仿宋" w:eastAsia="仿宋" w:cs="Arial"/>
                <w:color w:val="000000"/>
                <w:kern w:val="0"/>
                <w:sz w:val="24"/>
              </w:rPr>
              <w:t>徐景峰主编</w:t>
            </w:r>
            <w:r>
              <w:rPr>
                <w:rFonts w:hint="eastAsia" w:ascii="仿宋" w:hAnsi="仿宋" w:eastAsia="仿宋" w:cs="Arial"/>
                <w:color w:val="000000"/>
                <w:kern w:val="0"/>
                <w:sz w:val="24"/>
              </w:rPr>
              <w:t>，</w:t>
            </w:r>
            <w:r>
              <w:rPr>
                <w:rFonts w:ascii="仿宋" w:hAnsi="仿宋" w:eastAsia="仿宋" w:cs="Arial"/>
                <w:color w:val="000000"/>
                <w:kern w:val="0"/>
                <w:sz w:val="24"/>
              </w:rPr>
              <w:t>中国财政经济出版社</w:t>
            </w:r>
            <w:r>
              <w:rPr>
                <w:rFonts w:hint="eastAsia" w:ascii="仿宋" w:hAnsi="仿宋" w:eastAsia="仿宋" w:cs="Arial"/>
                <w:color w:val="000000"/>
                <w:kern w:val="0"/>
                <w:sz w:val="24"/>
              </w:rPr>
              <w:t>，</w:t>
            </w:r>
            <w:r>
              <w:rPr>
                <w:rFonts w:ascii="仿宋" w:hAnsi="仿宋" w:eastAsia="仿宋" w:cs="Arial"/>
                <w:color w:val="000000"/>
                <w:kern w:val="0"/>
                <w:sz w:val="24"/>
              </w:rPr>
              <w:t>2010 年版。</w:t>
            </w:r>
          </w:p>
          <w:p>
            <w:pPr>
              <w:widowControl/>
              <w:spacing w:line="360" w:lineRule="exact"/>
              <w:ind w:firstLine="480" w:firstLineChars="200"/>
              <w:rPr>
                <w:rFonts w:ascii="仿宋" w:hAnsi="仿宋" w:eastAsia="仿宋" w:cs="Arial"/>
                <w:color w:val="000000"/>
                <w:kern w:val="0"/>
                <w:sz w:val="24"/>
              </w:rPr>
            </w:pPr>
          </w:p>
          <w:p>
            <w:pPr>
              <w:widowControl/>
              <w:rPr>
                <w:rFonts w:hint="eastAsia" w:ascii="仿宋" w:hAnsi="仿宋" w:eastAsia="仿宋" w:cs="Arial"/>
                <w:color w:val="000000"/>
                <w:kern w:val="0"/>
                <w:sz w:val="24"/>
              </w:rPr>
            </w:pPr>
            <w:r>
              <w:rPr>
                <w:rFonts w:hint="eastAsia" w:ascii="黑体" w:hAnsi="黑体" w:eastAsia="黑体"/>
                <w:b/>
                <w:kern w:val="0"/>
                <w:sz w:val="24"/>
              </w:rPr>
              <w:t>*本科目考试大纲可作为金融学（020204）专业保险学（含精算学）方向复试科目保险学综合（代码F1802）考试大纲，具体题型和分值将依据总分的变化进行调整。</w:t>
            </w:r>
          </w:p>
        </w:tc>
      </w:tr>
    </w:tbl>
    <w:p>
      <w:pPr>
        <w:widowControl/>
        <w:spacing w:line="360" w:lineRule="auto"/>
        <w:ind w:firstLine="480" w:firstLineChars="200"/>
        <w:rPr>
          <w:rFonts w:hint="eastAsia" w:ascii="仿宋" w:hAnsi="仿宋" w:eastAsia="仿宋"/>
          <w:kern w:val="0"/>
          <w:sz w:val="24"/>
        </w:rPr>
      </w:pPr>
      <w:r>
        <w:rPr>
          <w:rFonts w:ascii="仿宋" w:hAnsi="仿宋" w:eastAsia="仿宋"/>
          <w:kern w:val="0"/>
          <w:sz w:val="24"/>
        </w:rPr>
        <w:t xml:space="preserve">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6"/>
    <w:rsid w:val="00001026"/>
    <w:rsid w:val="00026755"/>
    <w:rsid w:val="00051A14"/>
    <w:rsid w:val="0005540A"/>
    <w:rsid w:val="000559EA"/>
    <w:rsid w:val="000657E3"/>
    <w:rsid w:val="0009446B"/>
    <w:rsid w:val="0009698A"/>
    <w:rsid w:val="000A00CE"/>
    <w:rsid w:val="000A0B84"/>
    <w:rsid w:val="000A7F3E"/>
    <w:rsid w:val="000B350C"/>
    <w:rsid w:val="000B5D31"/>
    <w:rsid w:val="000C5B76"/>
    <w:rsid w:val="000D0409"/>
    <w:rsid w:val="000D43D3"/>
    <w:rsid w:val="000E187F"/>
    <w:rsid w:val="000E571E"/>
    <w:rsid w:val="00101700"/>
    <w:rsid w:val="0012348C"/>
    <w:rsid w:val="00143A65"/>
    <w:rsid w:val="00144140"/>
    <w:rsid w:val="0015442E"/>
    <w:rsid w:val="0017367D"/>
    <w:rsid w:val="00183954"/>
    <w:rsid w:val="0019015B"/>
    <w:rsid w:val="0019593E"/>
    <w:rsid w:val="00195D94"/>
    <w:rsid w:val="001A4183"/>
    <w:rsid w:val="001C1D4C"/>
    <w:rsid w:val="001F6830"/>
    <w:rsid w:val="00204BE2"/>
    <w:rsid w:val="002118A9"/>
    <w:rsid w:val="00215BFB"/>
    <w:rsid w:val="00221618"/>
    <w:rsid w:val="0023001A"/>
    <w:rsid w:val="00255844"/>
    <w:rsid w:val="002927AA"/>
    <w:rsid w:val="002941D7"/>
    <w:rsid w:val="0029518B"/>
    <w:rsid w:val="002A050A"/>
    <w:rsid w:val="002B2D94"/>
    <w:rsid w:val="002C1BF6"/>
    <w:rsid w:val="002C3A35"/>
    <w:rsid w:val="002C6B16"/>
    <w:rsid w:val="002D5435"/>
    <w:rsid w:val="002E166B"/>
    <w:rsid w:val="002E6C98"/>
    <w:rsid w:val="002F1EAC"/>
    <w:rsid w:val="003011AE"/>
    <w:rsid w:val="00307270"/>
    <w:rsid w:val="003117A1"/>
    <w:rsid w:val="00323BF2"/>
    <w:rsid w:val="00333C0D"/>
    <w:rsid w:val="00342D53"/>
    <w:rsid w:val="00352C5B"/>
    <w:rsid w:val="003641B4"/>
    <w:rsid w:val="0037236D"/>
    <w:rsid w:val="003A1191"/>
    <w:rsid w:val="003B4383"/>
    <w:rsid w:val="003B55EE"/>
    <w:rsid w:val="003C694C"/>
    <w:rsid w:val="003D3CCA"/>
    <w:rsid w:val="003D68D3"/>
    <w:rsid w:val="003E014E"/>
    <w:rsid w:val="003E15ED"/>
    <w:rsid w:val="00404638"/>
    <w:rsid w:val="00410A7D"/>
    <w:rsid w:val="00411909"/>
    <w:rsid w:val="004474EF"/>
    <w:rsid w:val="00494018"/>
    <w:rsid w:val="004A3C55"/>
    <w:rsid w:val="004A3CD4"/>
    <w:rsid w:val="004C09C1"/>
    <w:rsid w:val="004C22C3"/>
    <w:rsid w:val="004C626E"/>
    <w:rsid w:val="004F1CA9"/>
    <w:rsid w:val="0052346F"/>
    <w:rsid w:val="005264BE"/>
    <w:rsid w:val="00531C52"/>
    <w:rsid w:val="00555B40"/>
    <w:rsid w:val="00580E43"/>
    <w:rsid w:val="00583B43"/>
    <w:rsid w:val="0059341C"/>
    <w:rsid w:val="00594E45"/>
    <w:rsid w:val="005B2330"/>
    <w:rsid w:val="005D34F7"/>
    <w:rsid w:val="005D7FE7"/>
    <w:rsid w:val="005E23CC"/>
    <w:rsid w:val="005F3862"/>
    <w:rsid w:val="005F4EC4"/>
    <w:rsid w:val="005F528B"/>
    <w:rsid w:val="00604225"/>
    <w:rsid w:val="00607DAC"/>
    <w:rsid w:val="00610BEE"/>
    <w:rsid w:val="0061506C"/>
    <w:rsid w:val="00620EB4"/>
    <w:rsid w:val="00627B27"/>
    <w:rsid w:val="00641231"/>
    <w:rsid w:val="006506ED"/>
    <w:rsid w:val="00661001"/>
    <w:rsid w:val="00662F17"/>
    <w:rsid w:val="0066642D"/>
    <w:rsid w:val="00666DFB"/>
    <w:rsid w:val="00677B13"/>
    <w:rsid w:val="00690F52"/>
    <w:rsid w:val="006A1ABA"/>
    <w:rsid w:val="006A62F6"/>
    <w:rsid w:val="006B4358"/>
    <w:rsid w:val="006B6100"/>
    <w:rsid w:val="006C58E8"/>
    <w:rsid w:val="006D6662"/>
    <w:rsid w:val="006F2745"/>
    <w:rsid w:val="00710102"/>
    <w:rsid w:val="00714CF5"/>
    <w:rsid w:val="00726C5B"/>
    <w:rsid w:val="0074280B"/>
    <w:rsid w:val="00756973"/>
    <w:rsid w:val="00766014"/>
    <w:rsid w:val="00766A86"/>
    <w:rsid w:val="0078537D"/>
    <w:rsid w:val="00793882"/>
    <w:rsid w:val="007A2A5A"/>
    <w:rsid w:val="007B7E33"/>
    <w:rsid w:val="007C10B4"/>
    <w:rsid w:val="007D0D6C"/>
    <w:rsid w:val="007E53C0"/>
    <w:rsid w:val="007F0006"/>
    <w:rsid w:val="007F08C1"/>
    <w:rsid w:val="007F2D48"/>
    <w:rsid w:val="007F601F"/>
    <w:rsid w:val="008040E3"/>
    <w:rsid w:val="008179AE"/>
    <w:rsid w:val="0082372E"/>
    <w:rsid w:val="00835A4B"/>
    <w:rsid w:val="00837589"/>
    <w:rsid w:val="00862683"/>
    <w:rsid w:val="008712F3"/>
    <w:rsid w:val="00877E94"/>
    <w:rsid w:val="008807D9"/>
    <w:rsid w:val="00881645"/>
    <w:rsid w:val="00882E3E"/>
    <w:rsid w:val="00891461"/>
    <w:rsid w:val="008A637B"/>
    <w:rsid w:val="008E3A80"/>
    <w:rsid w:val="008F11B4"/>
    <w:rsid w:val="008F2C65"/>
    <w:rsid w:val="008F3893"/>
    <w:rsid w:val="008F5135"/>
    <w:rsid w:val="00901077"/>
    <w:rsid w:val="0090376B"/>
    <w:rsid w:val="00913479"/>
    <w:rsid w:val="00936132"/>
    <w:rsid w:val="009405BA"/>
    <w:rsid w:val="009444F3"/>
    <w:rsid w:val="0096433B"/>
    <w:rsid w:val="0096746B"/>
    <w:rsid w:val="00972B38"/>
    <w:rsid w:val="009832F8"/>
    <w:rsid w:val="0098762C"/>
    <w:rsid w:val="00991D9F"/>
    <w:rsid w:val="009A0979"/>
    <w:rsid w:val="009B382C"/>
    <w:rsid w:val="009C5AC5"/>
    <w:rsid w:val="009D40A3"/>
    <w:rsid w:val="00A018DC"/>
    <w:rsid w:val="00A06C5E"/>
    <w:rsid w:val="00A22A1F"/>
    <w:rsid w:val="00A30E6B"/>
    <w:rsid w:val="00A31430"/>
    <w:rsid w:val="00A4409F"/>
    <w:rsid w:val="00A6091F"/>
    <w:rsid w:val="00A663DE"/>
    <w:rsid w:val="00A80D0B"/>
    <w:rsid w:val="00A8100C"/>
    <w:rsid w:val="00A93A74"/>
    <w:rsid w:val="00AA4D1B"/>
    <w:rsid w:val="00AC50E3"/>
    <w:rsid w:val="00AD1702"/>
    <w:rsid w:val="00AE0E70"/>
    <w:rsid w:val="00AE309E"/>
    <w:rsid w:val="00AE453F"/>
    <w:rsid w:val="00B04E84"/>
    <w:rsid w:val="00B125FB"/>
    <w:rsid w:val="00B15627"/>
    <w:rsid w:val="00B16F9E"/>
    <w:rsid w:val="00B174C6"/>
    <w:rsid w:val="00B20C63"/>
    <w:rsid w:val="00B374D5"/>
    <w:rsid w:val="00B4550D"/>
    <w:rsid w:val="00B528CE"/>
    <w:rsid w:val="00B5442B"/>
    <w:rsid w:val="00B55456"/>
    <w:rsid w:val="00B60929"/>
    <w:rsid w:val="00B61F90"/>
    <w:rsid w:val="00B77DB7"/>
    <w:rsid w:val="00B8704A"/>
    <w:rsid w:val="00BA472F"/>
    <w:rsid w:val="00BB037B"/>
    <w:rsid w:val="00BB69B1"/>
    <w:rsid w:val="00BC0D07"/>
    <w:rsid w:val="00BD16D3"/>
    <w:rsid w:val="00BD61CD"/>
    <w:rsid w:val="00BD730D"/>
    <w:rsid w:val="00BE00ED"/>
    <w:rsid w:val="00BE34EE"/>
    <w:rsid w:val="00BE4C81"/>
    <w:rsid w:val="00BF5CD6"/>
    <w:rsid w:val="00C03671"/>
    <w:rsid w:val="00C316F5"/>
    <w:rsid w:val="00C36260"/>
    <w:rsid w:val="00C40B03"/>
    <w:rsid w:val="00C60526"/>
    <w:rsid w:val="00C7616C"/>
    <w:rsid w:val="00C9558A"/>
    <w:rsid w:val="00CA31DA"/>
    <w:rsid w:val="00CB037A"/>
    <w:rsid w:val="00CB440E"/>
    <w:rsid w:val="00CB6ADD"/>
    <w:rsid w:val="00CD276D"/>
    <w:rsid w:val="00CF1D71"/>
    <w:rsid w:val="00D05EBC"/>
    <w:rsid w:val="00D1786C"/>
    <w:rsid w:val="00D22B61"/>
    <w:rsid w:val="00D32C29"/>
    <w:rsid w:val="00D36225"/>
    <w:rsid w:val="00D529EF"/>
    <w:rsid w:val="00D66CB2"/>
    <w:rsid w:val="00D758E6"/>
    <w:rsid w:val="00D94882"/>
    <w:rsid w:val="00DA3BB1"/>
    <w:rsid w:val="00DC00A0"/>
    <w:rsid w:val="00DD2500"/>
    <w:rsid w:val="00DF11E0"/>
    <w:rsid w:val="00DF37BF"/>
    <w:rsid w:val="00E07945"/>
    <w:rsid w:val="00E32AD4"/>
    <w:rsid w:val="00E3665A"/>
    <w:rsid w:val="00E405D2"/>
    <w:rsid w:val="00E50E77"/>
    <w:rsid w:val="00E5495A"/>
    <w:rsid w:val="00E6417A"/>
    <w:rsid w:val="00E65101"/>
    <w:rsid w:val="00E65A1A"/>
    <w:rsid w:val="00E70B00"/>
    <w:rsid w:val="00E76D20"/>
    <w:rsid w:val="00E77E32"/>
    <w:rsid w:val="00E94054"/>
    <w:rsid w:val="00EA07B2"/>
    <w:rsid w:val="00EA526D"/>
    <w:rsid w:val="00EB7EAF"/>
    <w:rsid w:val="00ED2217"/>
    <w:rsid w:val="00F014EB"/>
    <w:rsid w:val="00F23217"/>
    <w:rsid w:val="00F40571"/>
    <w:rsid w:val="00F47E7C"/>
    <w:rsid w:val="00F55094"/>
    <w:rsid w:val="00F556E4"/>
    <w:rsid w:val="00F55DBC"/>
    <w:rsid w:val="00F624DD"/>
    <w:rsid w:val="00F63891"/>
    <w:rsid w:val="00F72110"/>
    <w:rsid w:val="00F73555"/>
    <w:rsid w:val="00F77430"/>
    <w:rsid w:val="00FA51B4"/>
    <w:rsid w:val="00FB32EF"/>
    <w:rsid w:val="00FB3777"/>
    <w:rsid w:val="00FC3B94"/>
    <w:rsid w:val="00FC3E3B"/>
    <w:rsid w:val="00FD358B"/>
    <w:rsid w:val="00FD628A"/>
    <w:rsid w:val="00FE4243"/>
    <w:rsid w:val="00FE5BD8"/>
    <w:rsid w:val="00FF3CDD"/>
    <w:rsid w:val="02355CD3"/>
    <w:rsid w:val="03FD01BC"/>
    <w:rsid w:val="05DA3933"/>
    <w:rsid w:val="070A5AD0"/>
    <w:rsid w:val="071A58B7"/>
    <w:rsid w:val="0B592FD2"/>
    <w:rsid w:val="0CB558AE"/>
    <w:rsid w:val="13655C64"/>
    <w:rsid w:val="1DB01517"/>
    <w:rsid w:val="26FD3205"/>
    <w:rsid w:val="2D2B3F4C"/>
    <w:rsid w:val="2FED7723"/>
    <w:rsid w:val="300E5EFE"/>
    <w:rsid w:val="32181CCC"/>
    <w:rsid w:val="344C5C03"/>
    <w:rsid w:val="3AF40F7C"/>
    <w:rsid w:val="40BB1BA2"/>
    <w:rsid w:val="42FA10A0"/>
    <w:rsid w:val="43A736ED"/>
    <w:rsid w:val="4E9F3227"/>
    <w:rsid w:val="54555857"/>
    <w:rsid w:val="604056DD"/>
    <w:rsid w:val="65132502"/>
    <w:rsid w:val="675F7B06"/>
    <w:rsid w:val="686666B2"/>
    <w:rsid w:val="6BB6548A"/>
    <w:rsid w:val="6BDB2E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20" w:beforeLines="20" w:after="20" w:afterLines="20"/>
      <w:jc w:val="center"/>
      <w:outlineLvl w:val="0"/>
    </w:pPr>
    <w:rPr>
      <w:b/>
      <w:bCs/>
      <w:kern w:val="44"/>
      <w:sz w:val="36"/>
      <w:szCs w:val="44"/>
    </w:rPr>
  </w:style>
  <w:style w:type="paragraph" w:styleId="3">
    <w:name w:val="heading 2"/>
    <w:basedOn w:val="1"/>
    <w:next w:val="1"/>
    <w:link w:val="14"/>
    <w:qFormat/>
    <w:uiPriority w:val="0"/>
    <w:pPr>
      <w:keepNext/>
      <w:keepLines/>
      <w:spacing w:before="20" w:beforeLines="20" w:after="20" w:afterLines="20"/>
      <w:outlineLvl w:val="1"/>
    </w:pPr>
    <w:rPr>
      <w:rFonts w:ascii="Cambria" w:hAnsi="Cambria"/>
      <w:b/>
      <w:bCs/>
      <w:sz w:val="28"/>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Document Map"/>
    <w:basedOn w:val="1"/>
    <w:link w:val="15"/>
    <w:uiPriority w:val="0"/>
    <w:rPr>
      <w:rFonts w:ascii="宋体"/>
      <w:sz w:val="18"/>
      <w:szCs w:val="18"/>
    </w:rPr>
  </w:style>
  <w:style w:type="paragraph" w:styleId="5">
    <w:name w:val="annotation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Hyperlink"/>
    <w:unhideWhenUsed/>
    <w:uiPriority w:val="99"/>
    <w:rPr>
      <w:color w:val="0000FF"/>
      <w:u w:val="single"/>
    </w:rPr>
  </w:style>
  <w:style w:type="character" w:customStyle="1" w:styleId="12">
    <w:name w:val="标题 1 Char"/>
    <w:link w:val="2"/>
    <w:uiPriority w:val="0"/>
    <w:rPr>
      <w:b/>
      <w:bCs/>
      <w:kern w:val="44"/>
      <w:sz w:val="36"/>
      <w:szCs w:val="44"/>
    </w:rPr>
  </w:style>
  <w:style w:type="character" w:customStyle="1" w:styleId="13">
    <w:name w:val=" Char Char2"/>
    <w:uiPriority w:val="0"/>
    <w:rPr>
      <w:b/>
      <w:bCs/>
      <w:kern w:val="44"/>
      <w:sz w:val="36"/>
      <w:szCs w:val="44"/>
    </w:rPr>
  </w:style>
  <w:style w:type="character" w:customStyle="1" w:styleId="14">
    <w:name w:val="标题 2 Char"/>
    <w:link w:val="3"/>
    <w:uiPriority w:val="0"/>
    <w:rPr>
      <w:rFonts w:ascii="Cambria" w:hAnsi="Cambria" w:eastAsia="宋体" w:cs="Times New Roman"/>
      <w:b/>
      <w:bCs/>
      <w:kern w:val="2"/>
      <w:sz w:val="28"/>
      <w:szCs w:val="32"/>
    </w:rPr>
  </w:style>
  <w:style w:type="character" w:customStyle="1" w:styleId="15">
    <w:name w:val="文档结构图 Char"/>
    <w:link w:val="4"/>
    <w:uiPriority w:val="0"/>
    <w:rPr>
      <w:rFonts w:ascii="宋体"/>
      <w:kern w:val="2"/>
      <w:sz w:val="18"/>
      <w:szCs w:val="18"/>
    </w:rPr>
  </w:style>
  <w:style w:type="character" w:customStyle="1" w:styleId="16">
    <w:name w:val=" Char Char1"/>
    <w:uiPriority w:val="0"/>
    <w:rPr>
      <w:rFonts w:ascii="Cambria" w:hAnsi="Cambria" w:eastAsia="宋体" w:cs="Times New Roman"/>
      <w:b/>
      <w:bCs/>
      <w:kern w:val="2"/>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275</Words>
  <Characters>1568</Characters>
  <Lines>13</Lines>
  <Paragraphs>3</Paragraphs>
  <TotalTime>0</TotalTime>
  <ScaleCrop>false</ScaleCrop>
  <LinksUpToDate>false</LinksUpToDate>
  <CharactersWithSpaces>1840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2022-09-05T05:14:00Z</dcterms:created>
  <dc:creator>hu</dc:creator>
  <cp:lastModifiedBy>vertesyuan</cp:lastModifiedBy>
  <cp:lastPrinted>2015-07-13T01:38:00Z</cp:lastPrinted>
  <dcterms:modified xsi:type="dcterms:W3CDTF">2022-10-09T07:55:09Z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6D6E187CB09F458CBC154DD2B48CD3BC</vt:lpwstr>
  </property>
</Properties>
</file>