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</w:rPr>
        <w:t>食品分析与检验技术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>　 　</w:t>
      </w:r>
      <w:r>
        <w:rPr>
          <w:rFonts w:hint="eastAsia"/>
        </w:rPr>
        <w:t>食品分析与检验技术</w:t>
      </w:r>
      <w:r>
        <w:t>是</w:t>
      </w:r>
      <w:r>
        <w:rPr>
          <w:rFonts w:hint="eastAsia"/>
        </w:rPr>
        <w:t>《农业知识综合三》中考查的主干课程。《农业知识综合三》侧重于农业工程综合知识的考查，考试内容包括食品卫生学、食品安全管理与法规、食品分析与检验技术等学科。《农业知识综合三》食品分析与检验技术部分考查</w:t>
      </w:r>
      <w:r>
        <w:t>目的是科学、公平、有效地测试考生掌握大学本科阶段</w:t>
      </w:r>
      <w:r>
        <w:rPr>
          <w:rFonts w:hint="eastAsia"/>
        </w:rPr>
        <w:t>食品分析与检验技术</w:t>
      </w:r>
      <w:r>
        <w:t>课的基本知识、基本理论，以及运用</w:t>
      </w:r>
      <w:r>
        <w:rPr>
          <w:rFonts w:hint="eastAsia"/>
        </w:rPr>
        <w:t>食品分析与检验技术</w:t>
      </w:r>
      <w:r>
        <w:t>方法分析和解决问题的能力，</w:t>
      </w:r>
      <w:r>
        <w:rPr>
          <w:rFonts w:hint="eastAsia"/>
        </w:rPr>
        <w:t>要求考生比较系统地理解和掌握本领域基本概念、基础理论和基本方法，能够运用基本原理和方法分析、判断和解决有关实际问题。食品分析与检验技术部分</w:t>
      </w:r>
      <w:r>
        <w:t>评价的标准是高等学校本科毕业生能达到的及格或及格以上水平，以保证被录取者具有基本的</w:t>
      </w:r>
      <w:r>
        <w:rPr>
          <w:rFonts w:hint="eastAsia"/>
        </w:rPr>
        <w:t>食品分析与检验技术</w:t>
      </w:r>
      <w:r>
        <w:t>，并有利于各高等院校和科研院所在专业上择优选拔。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pPr>
        <w:ind w:firstLine="420"/>
      </w:pPr>
      <w:r>
        <w:rPr>
          <w:rFonts w:hint="eastAsia"/>
        </w:rPr>
        <w:t>本课程要求考生掌握食品分析的基础理论和知识，并能与食品分析实验操作技术密切联系，了解食品的基本成分、变化规律及相关分析技术标准，同时对食品分析新技术有一定的了解。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</w:t>
      </w:r>
      <w:r>
        <w:rPr>
          <w:rFonts w:hint="eastAsia" w:ascii="黑体" w:hAnsi="黑体" w:eastAsia="黑体"/>
        </w:rPr>
        <w:t>参考书目</w:t>
      </w:r>
    </w:p>
    <w:p>
      <w:pPr>
        <w:ind w:firstLine="420"/>
      </w:pPr>
      <w:r>
        <w:rPr>
          <w:rFonts w:hint="eastAsia"/>
        </w:rPr>
        <w:t>《食品分析》，大连轻工业学院等编，中国轻工出版社，2008年出版。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本部分试卷满分为</w:t>
      </w:r>
      <w:r>
        <w:rPr>
          <w:rFonts w:hint="eastAsia"/>
        </w:rPr>
        <w:t>5</w:t>
      </w:r>
      <w:r>
        <w:t>0分，考试时间为</w:t>
      </w:r>
      <w:r>
        <w:rPr>
          <w:rFonts w:hint="eastAsia"/>
        </w:rPr>
        <w:t>6</w:t>
      </w:r>
      <w:r>
        <w:t>0分钟。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pPr>
        <w:ind w:firstLine="405"/>
      </w:pPr>
      <w:r>
        <w:rPr>
          <w:rFonts w:hint="eastAsia"/>
        </w:rPr>
        <w:t>食品</w:t>
      </w:r>
      <w:r>
        <w:t>分析基本概念约2</w:t>
      </w:r>
      <w:r>
        <w:rPr>
          <w:rFonts w:hint="eastAsia"/>
        </w:rPr>
        <w:t>0</w:t>
      </w:r>
      <w:r>
        <w:t>%</w:t>
      </w:r>
    </w:p>
    <w:p>
      <w:pPr>
        <w:ind w:firstLine="405"/>
      </w:pPr>
      <w:r>
        <w:rPr>
          <w:rFonts w:hint="eastAsia"/>
        </w:rPr>
        <w:t>食品</w:t>
      </w:r>
      <w:r>
        <w:t>分析方法基本原理约4</w:t>
      </w:r>
      <w:r>
        <w:rPr>
          <w:rFonts w:hint="eastAsia"/>
        </w:rPr>
        <w:t>0</w:t>
      </w:r>
      <w:r>
        <w:t>%</w:t>
      </w:r>
    </w:p>
    <w:p>
      <w:r>
        <w:t>　　</w:t>
      </w:r>
      <w:r>
        <w:rPr>
          <w:rFonts w:hint="eastAsia"/>
        </w:rPr>
        <w:t>食品分析</w:t>
      </w:r>
      <w:r>
        <w:t>操作要点</w:t>
      </w:r>
      <w:r>
        <w:rPr>
          <w:rFonts w:hint="eastAsia"/>
        </w:rPr>
        <w:t>、注意</w:t>
      </w:r>
      <w:r>
        <w:t>事项等约4</w:t>
      </w:r>
      <w:r>
        <w:rPr>
          <w:rFonts w:hint="eastAsia"/>
        </w:rPr>
        <w:t>0</w:t>
      </w:r>
      <w:r>
        <w:t>%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r>
        <w:t>　　</w:t>
      </w:r>
      <w:r>
        <w:rPr>
          <w:rFonts w:hint="eastAsia"/>
        </w:rPr>
        <w:t>1. 名词解释，一般5小题，每小题2分，共10分。</w:t>
      </w:r>
    </w:p>
    <w:p>
      <w:pPr>
        <w:ind w:firstLine="420" w:firstLineChars="200"/>
      </w:pPr>
      <w:r>
        <w:rPr>
          <w:rFonts w:hint="eastAsia"/>
        </w:rPr>
        <w:t>2. 问答题，一般4小题，每小题10分，共40分。</w:t>
      </w:r>
    </w:p>
    <w:p>
      <w:pPr>
        <w:spacing w:line="440" w:lineRule="exact"/>
        <w:rPr>
          <w:rFonts w:ascii="Arial" w:hAnsi="Arial" w:cs="Arial"/>
          <w:color w:val="000000"/>
          <w:sz w:val="24"/>
        </w:rPr>
      </w:pPr>
      <w:r>
        <w:rPr>
          <w:rFonts w:hint="eastAsia" w:ascii="黑体" w:hAnsi="黑体" w:eastAsia="黑体"/>
        </w:rPr>
        <w:t>Ⅴ.</w:t>
      </w:r>
      <w:r>
        <w:rPr>
          <w:rFonts w:ascii="黑体" w:hAnsi="黑体" w:eastAsia="黑体"/>
        </w:rPr>
        <w:t>考查内容</w:t>
      </w:r>
    </w:p>
    <w:p>
      <w:pPr>
        <w:ind w:firstLine="420" w:firstLineChars="200"/>
      </w:pPr>
      <w:r>
        <w:rPr>
          <w:rFonts w:hint="eastAsia"/>
        </w:rPr>
        <w:t>1. 掌握食品检验的性质、任务和作用。</w:t>
      </w:r>
    </w:p>
    <w:p>
      <w:pPr>
        <w:ind w:firstLine="420" w:firstLineChars="200"/>
      </w:pPr>
      <w:r>
        <w:rPr>
          <w:rFonts w:hint="eastAsia"/>
        </w:rPr>
        <w:t>2. 了解食品检验的内容和主要方法。</w:t>
      </w:r>
    </w:p>
    <w:p>
      <w:pPr>
        <w:ind w:firstLine="420" w:firstLineChars="200"/>
      </w:pPr>
      <w:r>
        <w:rPr>
          <w:rFonts w:hint="eastAsia"/>
        </w:rPr>
        <w:t>3. 掌握食品样品的采集的定义、原则、准备以及样品分类和不同状态食品的抽样方法。</w:t>
      </w:r>
    </w:p>
    <w:p>
      <w:pPr>
        <w:ind w:firstLine="420" w:firstLineChars="200"/>
      </w:pPr>
      <w:r>
        <w:rPr>
          <w:rFonts w:hint="eastAsia"/>
        </w:rPr>
        <w:t>4. 理解样品预处理的目的，掌握样品预处理的主要方法：溶剂提取法、层析分离法、化学分离法、有机物破坏法的原理、方法及应用特点。了解样品的保存方法。</w:t>
      </w:r>
    </w:p>
    <w:p>
      <w:pPr>
        <w:ind w:firstLine="420" w:firstLineChars="200"/>
      </w:pPr>
      <w:r>
        <w:rPr>
          <w:rFonts w:hint="eastAsia"/>
        </w:rPr>
        <w:t>5．掌握水分的主要测定方法，不同方法的适用范围及操作注意事项，及水分测定方法的实际应用。</w:t>
      </w:r>
    </w:p>
    <w:p>
      <w:pPr>
        <w:ind w:firstLine="420" w:firstLineChars="200"/>
      </w:pPr>
      <w:r>
        <w:rPr>
          <w:rFonts w:hint="eastAsia"/>
        </w:rPr>
        <w:t>6．掌握总灰分的测定原理、样品预处理、灰化方法、加速灰化的方法，掌握灰分测定的计算。</w:t>
      </w:r>
    </w:p>
    <w:p>
      <w:pPr>
        <w:ind w:firstLine="420" w:firstLineChars="200"/>
      </w:pPr>
      <w:r>
        <w:rPr>
          <w:rFonts w:hint="eastAsia"/>
        </w:rPr>
        <w:t>7. 掌握食品酸度的概念，理解酸度测定的意义，掌握总酸度的测定原理、操作方法、结果计算以及适用范围，理解pH、挥发酸的测定，了解有机酸的分离与定量。</w:t>
      </w:r>
    </w:p>
    <w:p>
      <w:pPr>
        <w:ind w:firstLine="420" w:firstLineChars="200"/>
      </w:pPr>
      <w:r>
        <w:rPr>
          <w:rFonts w:hint="eastAsia"/>
        </w:rPr>
        <w:t>8. 理解脂类的分类、性质、提取剂的选择和预处理，掌握索氏提取法和巴布科克法，理解酸水解法和其他脂类的测定方法，了解食用油脂理化特性指标的概念及测定。</w:t>
      </w:r>
    </w:p>
    <w:p>
      <w:pPr>
        <w:ind w:firstLine="420" w:firstLineChars="200"/>
      </w:pPr>
      <w:r>
        <w:rPr>
          <w:rFonts w:hint="eastAsia"/>
        </w:rPr>
        <w:t>9. 了解糖类物质的分类和性质，掌握可溶性糖类的提取、分离、除干扰和澄清，掌握用直接滴定法测定还原性糖类，理解其他糖类的测定方法。</w:t>
      </w:r>
    </w:p>
    <w:p>
      <w:pPr>
        <w:ind w:firstLine="420" w:firstLineChars="200"/>
      </w:pPr>
      <w:r>
        <w:rPr>
          <w:rFonts w:hint="eastAsia"/>
        </w:rPr>
        <w:t>10. 掌握酸水解法和酶水解法测定淀粉的原理及方法。</w:t>
      </w:r>
    </w:p>
    <w:p>
      <w:pPr>
        <w:ind w:firstLine="420" w:firstLineChars="200"/>
      </w:pPr>
      <w:r>
        <w:rPr>
          <w:rFonts w:hint="eastAsia"/>
        </w:rPr>
        <w:t>11. 了解蛋白质的分类、性质，了解蛋白质和氨基酸的定性方法，掌握凯氏定氮法测定蛋白质和甲醛滴定法。</w:t>
      </w:r>
    </w:p>
    <w:p>
      <w:pPr>
        <w:ind w:firstLine="420" w:firstLineChars="200"/>
      </w:pPr>
      <w:r>
        <w:rPr>
          <w:rFonts w:hint="eastAsia"/>
        </w:rPr>
        <w:t>12. 维生素的分析与检验：掌握脂溶性维生素A的高效液相色谱法和三氯化锑比色法的测定原理和方法；掌握水溶性维生素硫胺素、核黄素荧光法测定的原理及操作要点；掌握抗坏血酸2,6-二氯靛酚滴定法、比色法的测定原理及方法、注意事项及适用范围。</w:t>
      </w:r>
    </w:p>
    <w:p>
      <w:pPr>
        <w:ind w:firstLine="420" w:firstLineChars="200"/>
      </w:pPr>
      <w:r>
        <w:rPr>
          <w:rFonts w:hint="eastAsia"/>
        </w:rPr>
        <w:t>13. 了解食品添加剂的种类，理解亚硫酸盐、防腐剂、甜味剂和抗氧化剂的主要测定方法，掌握发色剂硝酸盐和亚硝酸盐的测定原理、结果计算和注意事项。</w:t>
      </w:r>
    </w:p>
    <w:p>
      <w:pPr>
        <w:ind w:firstLine="420" w:firstLineChars="200"/>
      </w:pPr>
      <w:r>
        <w:rPr>
          <w:rFonts w:hint="eastAsia"/>
        </w:rPr>
        <w:t>14. 掌握砷的测定原理、方法、结果计算以及注意事项。</w:t>
      </w:r>
    </w:p>
    <w:p>
      <w:pPr>
        <w:ind w:firstLine="420" w:firstLineChars="200"/>
      </w:pPr>
      <w:r>
        <w:rPr>
          <w:rFonts w:hint="eastAsia"/>
        </w:rPr>
        <w:t>15. 掌握分析方法的质量评价参数；掌握准确度的评价方法和提高分析准确度的措施；掌握检出限和线性范围的含义和要求。</w:t>
      </w:r>
      <w:r>
        <w:t> </w:t>
      </w: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F73A15"/>
    <w:rsid w:val="00001791"/>
    <w:rsid w:val="00002A5C"/>
    <w:rsid w:val="00006F1E"/>
    <w:rsid w:val="000142B9"/>
    <w:rsid w:val="00021372"/>
    <w:rsid w:val="00022A0F"/>
    <w:rsid w:val="0004471B"/>
    <w:rsid w:val="00053B9C"/>
    <w:rsid w:val="00057C79"/>
    <w:rsid w:val="000616DC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25B2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649DA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54CB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4EDF"/>
    <w:rsid w:val="002E662C"/>
    <w:rsid w:val="002E68D7"/>
    <w:rsid w:val="00304198"/>
    <w:rsid w:val="00315F45"/>
    <w:rsid w:val="003300CC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3A3D"/>
    <w:rsid w:val="00395B87"/>
    <w:rsid w:val="003B04F8"/>
    <w:rsid w:val="003B1FB2"/>
    <w:rsid w:val="003B38A3"/>
    <w:rsid w:val="003B702F"/>
    <w:rsid w:val="003C02F2"/>
    <w:rsid w:val="003C4A1C"/>
    <w:rsid w:val="003D0AE7"/>
    <w:rsid w:val="003D47E0"/>
    <w:rsid w:val="003D601A"/>
    <w:rsid w:val="003D70D9"/>
    <w:rsid w:val="003E205D"/>
    <w:rsid w:val="003E34DF"/>
    <w:rsid w:val="003E7398"/>
    <w:rsid w:val="00407CAF"/>
    <w:rsid w:val="00422E10"/>
    <w:rsid w:val="00424AC6"/>
    <w:rsid w:val="00427EE3"/>
    <w:rsid w:val="00431662"/>
    <w:rsid w:val="00433D28"/>
    <w:rsid w:val="00434D46"/>
    <w:rsid w:val="00435381"/>
    <w:rsid w:val="00444531"/>
    <w:rsid w:val="00447252"/>
    <w:rsid w:val="004515C9"/>
    <w:rsid w:val="00452A63"/>
    <w:rsid w:val="004607EC"/>
    <w:rsid w:val="004609D2"/>
    <w:rsid w:val="004638FC"/>
    <w:rsid w:val="0046690D"/>
    <w:rsid w:val="00477345"/>
    <w:rsid w:val="0048594F"/>
    <w:rsid w:val="00485A49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075E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10BD6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178E"/>
    <w:rsid w:val="00862F40"/>
    <w:rsid w:val="00863ACC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41010"/>
    <w:rsid w:val="0094643B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C45C6"/>
    <w:rsid w:val="009D1B5C"/>
    <w:rsid w:val="009D24F1"/>
    <w:rsid w:val="009D31A4"/>
    <w:rsid w:val="009D60F1"/>
    <w:rsid w:val="009E560D"/>
    <w:rsid w:val="009E6BE9"/>
    <w:rsid w:val="009F2B66"/>
    <w:rsid w:val="009F5367"/>
    <w:rsid w:val="009F5C63"/>
    <w:rsid w:val="00A0191E"/>
    <w:rsid w:val="00A02106"/>
    <w:rsid w:val="00A14B46"/>
    <w:rsid w:val="00A16113"/>
    <w:rsid w:val="00A26661"/>
    <w:rsid w:val="00A27C4B"/>
    <w:rsid w:val="00A31EFF"/>
    <w:rsid w:val="00A32C95"/>
    <w:rsid w:val="00A35264"/>
    <w:rsid w:val="00A3770C"/>
    <w:rsid w:val="00A4021D"/>
    <w:rsid w:val="00A40C9B"/>
    <w:rsid w:val="00A420C4"/>
    <w:rsid w:val="00A42781"/>
    <w:rsid w:val="00A619D9"/>
    <w:rsid w:val="00A64E7E"/>
    <w:rsid w:val="00A67269"/>
    <w:rsid w:val="00A76648"/>
    <w:rsid w:val="00A7687B"/>
    <w:rsid w:val="00A76D6F"/>
    <w:rsid w:val="00A83CB7"/>
    <w:rsid w:val="00A8543B"/>
    <w:rsid w:val="00A9281D"/>
    <w:rsid w:val="00AA7A36"/>
    <w:rsid w:val="00AB682D"/>
    <w:rsid w:val="00AC3AEA"/>
    <w:rsid w:val="00AC6EE3"/>
    <w:rsid w:val="00AD0F3E"/>
    <w:rsid w:val="00AD6852"/>
    <w:rsid w:val="00AE627C"/>
    <w:rsid w:val="00AE64A4"/>
    <w:rsid w:val="00AF1A4D"/>
    <w:rsid w:val="00AF3549"/>
    <w:rsid w:val="00AF7028"/>
    <w:rsid w:val="00B218B9"/>
    <w:rsid w:val="00B352B6"/>
    <w:rsid w:val="00B3585C"/>
    <w:rsid w:val="00B41E39"/>
    <w:rsid w:val="00B47726"/>
    <w:rsid w:val="00B51969"/>
    <w:rsid w:val="00B564FF"/>
    <w:rsid w:val="00B640A2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4349"/>
    <w:rsid w:val="00CB548E"/>
    <w:rsid w:val="00CB69F5"/>
    <w:rsid w:val="00CC1E3B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D51EA"/>
    <w:rsid w:val="00DE2066"/>
    <w:rsid w:val="00DE3A9D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BE9"/>
    <w:rsid w:val="00E40EB6"/>
    <w:rsid w:val="00E4240F"/>
    <w:rsid w:val="00E543C5"/>
    <w:rsid w:val="00E55925"/>
    <w:rsid w:val="00E55F14"/>
    <w:rsid w:val="00E602CC"/>
    <w:rsid w:val="00E61139"/>
    <w:rsid w:val="00E63DC5"/>
    <w:rsid w:val="00E64E87"/>
    <w:rsid w:val="00E65B23"/>
    <w:rsid w:val="00E70F16"/>
    <w:rsid w:val="00E7138A"/>
    <w:rsid w:val="00E74EE5"/>
    <w:rsid w:val="00E83972"/>
    <w:rsid w:val="00E916C8"/>
    <w:rsid w:val="00E93D94"/>
    <w:rsid w:val="00EB022D"/>
    <w:rsid w:val="00EC3C1E"/>
    <w:rsid w:val="00EC4422"/>
    <w:rsid w:val="00EC4D3C"/>
    <w:rsid w:val="00ED0AB8"/>
    <w:rsid w:val="00ED41A7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2080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3AF8709A"/>
    <w:rsid w:val="429D3A59"/>
    <w:rsid w:val="59170B35"/>
    <w:rsid w:val="5C5945E6"/>
    <w:rsid w:val="5E5921DF"/>
    <w:rsid w:val="72C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湘潭大学研招办</Company>
  <Pages>2</Pages>
  <Words>1412</Words>
  <Characters>1455</Characters>
  <Lines>10</Lines>
  <Paragraphs>3</Paragraphs>
  <TotalTime>0</TotalTime>
  <ScaleCrop>false</ScaleCrop>
  <LinksUpToDate>false</LinksUpToDate>
  <CharactersWithSpaces>1489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2022-09-15T01:24:00Z</dcterms:created>
  <dc:creator>李丽兰</dc:creator>
  <cp:lastModifiedBy>子嫣麻麻</cp:lastModifiedBy>
  <cp:lastPrinted>2018-07-16T02:14:00Z</cp:lastPrinted>
  <dcterms:modified xsi:type="dcterms:W3CDTF">2022-09-21T09:28:34Z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A746E65A4D574B1492207E30F84285EC</vt:lpwstr>
  </property>
</Properties>
</file>